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eastAsia="方正小标宋简体"/>
          <w:sz w:val="44"/>
        </w:rPr>
      </w:pPr>
      <w:r>
        <w:rPr>
          <w:rFonts w:hint="eastAsia" w:ascii="方正小标宋简体" w:eastAsia="方正小标宋简体"/>
          <w:sz w:val="44"/>
        </w:rPr>
        <w:t>甘肃省中小学教学视导情况</w:t>
      </w:r>
      <w:r>
        <w:rPr>
          <w:rFonts w:hint="eastAsia" w:ascii="方正小标宋简体" w:eastAsia="方正小标宋简体"/>
          <w:sz w:val="44"/>
          <w:lang w:eastAsia="zh-CN"/>
        </w:rPr>
        <w:t>记录</w:t>
      </w:r>
      <w:bookmarkStart w:id="0" w:name="_GoBack"/>
      <w:bookmarkEnd w:id="0"/>
      <w:r>
        <w:rPr>
          <w:rFonts w:hint="eastAsia" w:ascii="方正小标宋简体" w:eastAsia="方正小标宋简体"/>
          <w:sz w:val="44"/>
        </w:rPr>
        <w:t>表</w:t>
      </w:r>
    </w:p>
    <w:p>
      <w:pPr>
        <w:spacing w:line="500" w:lineRule="exact"/>
        <w:rPr>
          <w:rFonts w:hint="eastAsia" w:ascii="仿宋_GB2312" w:eastAsia="仿宋_GB2312"/>
          <w:sz w:val="28"/>
        </w:rPr>
      </w:pPr>
      <w:r>
        <w:rPr>
          <w:rFonts w:hint="eastAsia" w:ascii="仿宋_GB2312" w:eastAsia="仿宋_GB2312"/>
          <w:sz w:val="28"/>
        </w:rPr>
        <w:t>接受视导学校：</w:t>
      </w:r>
      <w:r>
        <w:rPr>
          <w:rFonts w:hint="eastAsia" w:ascii="仿宋_GB2312" w:eastAsia="仿宋_GB2312"/>
          <w:sz w:val="28"/>
          <w:u w:val="single"/>
        </w:rPr>
        <w:t xml:space="preserve">                </w:t>
      </w:r>
      <w:r>
        <w:rPr>
          <w:rFonts w:hint="eastAsia" w:ascii="仿宋_GB2312" w:eastAsia="仿宋_GB2312"/>
          <w:sz w:val="28"/>
        </w:rPr>
        <w:t>视导时间：</w:t>
      </w:r>
      <w:r>
        <w:rPr>
          <w:rFonts w:hint="eastAsia" w:ascii="仿宋_GB2312" w:eastAsia="仿宋_GB2312"/>
          <w:sz w:val="28"/>
          <w:u w:val="single"/>
        </w:rPr>
        <w:t xml:space="preserve">     </w:t>
      </w:r>
      <w:r>
        <w:rPr>
          <w:rFonts w:hint="eastAsia" w:ascii="仿宋_GB2312" w:eastAsia="仿宋_GB2312"/>
          <w:sz w:val="28"/>
        </w:rPr>
        <w:t>年</w:t>
      </w:r>
      <w:r>
        <w:rPr>
          <w:rFonts w:hint="eastAsia" w:ascii="仿宋_GB2312" w:eastAsia="仿宋_GB2312"/>
          <w:sz w:val="28"/>
          <w:u w:val="single"/>
        </w:rPr>
        <w:t xml:space="preserve">     </w:t>
      </w:r>
      <w:r>
        <w:rPr>
          <w:rFonts w:hint="eastAsia" w:ascii="仿宋_GB2312" w:eastAsia="仿宋_GB2312"/>
          <w:sz w:val="28"/>
        </w:rPr>
        <w:t>月</w:t>
      </w:r>
      <w:r>
        <w:rPr>
          <w:rFonts w:hint="eastAsia" w:ascii="仿宋_GB2312" w:eastAsia="仿宋_GB2312"/>
          <w:sz w:val="28"/>
          <w:u w:val="single"/>
        </w:rPr>
        <w:t xml:space="preserve">    </w:t>
      </w:r>
      <w:r>
        <w:rPr>
          <w:rFonts w:hint="eastAsia" w:ascii="仿宋_GB2312" w:eastAsia="仿宋_GB2312"/>
          <w:sz w:val="28"/>
        </w:rPr>
        <w:t>日</w:t>
      </w:r>
    </w:p>
    <w:p>
      <w:pPr>
        <w:spacing w:line="500" w:lineRule="exact"/>
        <w:rPr>
          <w:rFonts w:hint="eastAsia" w:ascii="仿宋_GB2312" w:eastAsia="仿宋_GB2312"/>
          <w:sz w:val="28"/>
          <w:u w:val="single"/>
        </w:rPr>
      </w:pPr>
      <w:r>
        <w:rPr>
          <w:rFonts w:hint="eastAsia" w:ascii="仿宋_GB2312" w:eastAsia="仿宋_GB2312"/>
          <w:sz w:val="28"/>
        </w:rPr>
        <w:t xml:space="preserve">学校分管领导（签字） </w:t>
      </w:r>
      <w:r>
        <w:rPr>
          <w:rFonts w:hint="eastAsia" w:ascii="仿宋_GB2312" w:eastAsia="仿宋_GB2312"/>
          <w:sz w:val="28"/>
          <w:u w:val="single"/>
        </w:rPr>
        <w:t xml:space="preserve">         </w:t>
      </w:r>
      <w:r>
        <w:rPr>
          <w:rFonts w:hint="eastAsia" w:ascii="仿宋_GB2312" w:eastAsia="仿宋_GB2312"/>
          <w:sz w:val="28"/>
        </w:rPr>
        <w:t>视导人员（签字）</w:t>
      </w:r>
      <w:r>
        <w:rPr>
          <w:rFonts w:hint="eastAsia" w:ascii="仿宋_GB2312" w:eastAsia="仿宋_GB2312"/>
          <w:sz w:val="28"/>
          <w:u w:val="single"/>
        </w:rPr>
        <w:t xml:space="preserve">             </w:t>
      </w:r>
    </w:p>
    <w:tbl>
      <w:tblPr>
        <w:tblStyle w:val="3"/>
        <w:tblpPr w:leftFromText="180" w:rightFromText="180" w:vertAnchor="page" w:horzAnchor="page" w:tblpX="1746" w:tblpY="3074"/>
        <w:tblW w:w="871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519"/>
        <w:gridCol w:w="3388"/>
        <w:gridCol w:w="38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96" w:hRule="atLeast"/>
        </w:trPr>
        <w:tc>
          <w:tcPr>
            <w:tcW w:w="1519" w:type="dxa"/>
            <w:tcBorders>
              <w:bottom w:val="single" w:color="000000" w:themeColor="text1" w:sz="4" w:space="0"/>
            </w:tcBorders>
            <w:vAlign w:val="center"/>
          </w:tcPr>
          <w:p>
            <w:pPr>
              <w:jc w:val="center"/>
              <w:rPr>
                <w:rFonts w:hint="eastAsia" w:ascii="黑体" w:hAnsi="黑体" w:eastAsia="黑体"/>
                <w:sz w:val="22"/>
                <w:szCs w:val="24"/>
              </w:rPr>
            </w:pPr>
            <w:r>
              <w:rPr>
                <w:rFonts w:hint="eastAsia" w:ascii="黑体" w:hAnsi="黑体" w:eastAsia="黑体"/>
                <w:sz w:val="22"/>
                <w:szCs w:val="24"/>
              </w:rPr>
              <w:t>学校情况</w:t>
            </w:r>
          </w:p>
        </w:tc>
        <w:tc>
          <w:tcPr>
            <w:tcW w:w="7200" w:type="dxa"/>
            <w:gridSpan w:val="2"/>
            <w:vAlign w:val="center"/>
          </w:tcPr>
          <w:p>
            <w:pPr>
              <w:rPr>
                <w:rFonts w:hint="eastAsia" w:ascii="楷体_GB2312" w:eastAsia="楷体_GB2312"/>
                <w:sz w:val="22"/>
                <w:szCs w:val="24"/>
              </w:rPr>
            </w:pPr>
            <w:r>
              <w:rPr>
                <w:rFonts w:hint="eastAsia" w:ascii="楷体_GB2312" w:eastAsia="楷体_GB2312"/>
                <w:sz w:val="22"/>
                <w:szCs w:val="24"/>
              </w:rPr>
              <w:t>学校类型：</w:t>
            </w:r>
            <w:r>
              <w:rPr>
                <w:rFonts w:hint="eastAsia" w:ascii="楷体_GB2312" w:eastAsia="楷体_GB2312" w:hAnsiTheme="minorEastAsia"/>
                <w:sz w:val="22"/>
                <w:szCs w:val="24"/>
              </w:rPr>
              <w:t>□教学点 □小学 □初中 □九年一贯制 □独立初中 □高中</w:t>
            </w:r>
          </w:p>
          <w:p>
            <w:pPr>
              <w:rPr>
                <w:rFonts w:hint="eastAsia" w:ascii="楷体_GB2312" w:eastAsia="楷体_GB2312" w:hAnsiTheme="minorEastAsia"/>
                <w:sz w:val="22"/>
                <w:szCs w:val="24"/>
              </w:rPr>
            </w:pPr>
            <w:r>
              <w:rPr>
                <w:rFonts w:hint="eastAsia" w:ascii="楷体_GB2312" w:eastAsia="楷体_GB2312"/>
                <w:sz w:val="22"/>
                <w:szCs w:val="24"/>
              </w:rPr>
              <w:t>学校性质：</w:t>
            </w:r>
            <w:r>
              <w:rPr>
                <w:rFonts w:hint="eastAsia" w:ascii="楷体_GB2312" w:eastAsia="楷体_GB2312" w:hAnsiTheme="minorEastAsia"/>
                <w:sz w:val="22"/>
                <w:szCs w:val="24"/>
              </w:rPr>
              <w:t xml:space="preserve">□公办 □民办  </w:t>
            </w:r>
          </w:p>
          <w:p>
            <w:pPr>
              <w:rPr>
                <w:rFonts w:hint="eastAsia" w:ascii="楷体_GB2312" w:eastAsia="楷体_GB2312"/>
                <w:sz w:val="22"/>
                <w:szCs w:val="24"/>
              </w:rPr>
            </w:pPr>
            <w:r>
              <w:rPr>
                <w:rFonts w:hint="eastAsia" w:ascii="楷体_GB2312" w:eastAsia="楷体_GB2312" w:hAnsiTheme="minorEastAsia"/>
                <w:sz w:val="22"/>
                <w:szCs w:val="24"/>
              </w:rPr>
              <w:t>学校地域：□城市 □县城 □乡镇 □农村</w:t>
            </w:r>
          </w:p>
          <w:p>
            <w:pPr>
              <w:rPr>
                <w:rFonts w:hint="eastAsia" w:ascii="楷体_GB2312" w:eastAsia="楷体_GB2312"/>
                <w:sz w:val="22"/>
                <w:szCs w:val="24"/>
              </w:rPr>
            </w:pPr>
            <w:r>
              <w:rPr>
                <w:rFonts w:hint="eastAsia" w:ascii="楷体_GB2312" w:eastAsia="楷体_GB2312"/>
                <w:sz w:val="22"/>
                <w:szCs w:val="24"/>
              </w:rPr>
              <w:t>学生总数：</w:t>
            </w:r>
            <w:r>
              <w:rPr>
                <w:rFonts w:hint="eastAsia" w:ascii="楷体_GB2312" w:eastAsia="楷体_GB2312"/>
                <w:sz w:val="22"/>
                <w:szCs w:val="24"/>
                <w:u w:val="single"/>
              </w:rPr>
              <w:t xml:space="preserve">       </w:t>
            </w:r>
            <w:r>
              <w:rPr>
                <w:rFonts w:hint="eastAsia" w:ascii="楷体_GB2312" w:eastAsia="楷体_GB2312"/>
                <w:sz w:val="22"/>
                <w:szCs w:val="24"/>
              </w:rPr>
              <w:t>名，教职工总数：</w:t>
            </w:r>
            <w:r>
              <w:rPr>
                <w:rFonts w:hint="eastAsia" w:ascii="楷体_GB2312" w:eastAsia="楷体_GB2312"/>
                <w:sz w:val="22"/>
                <w:szCs w:val="24"/>
                <w:u w:val="single"/>
              </w:rPr>
              <w:t xml:space="preserve">       </w:t>
            </w:r>
            <w:r>
              <w:rPr>
                <w:rFonts w:hint="eastAsia" w:ascii="楷体_GB2312" w:eastAsia="楷体_GB2312"/>
                <w:sz w:val="22"/>
                <w:szCs w:val="24"/>
              </w:rPr>
              <w:t>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519" w:type="dxa"/>
            <w:tcBorders>
              <w:tl2br w:val="nil"/>
            </w:tcBorders>
            <w:vAlign w:val="center"/>
          </w:tcPr>
          <w:p>
            <w:pPr>
              <w:jc w:val="center"/>
              <w:rPr>
                <w:rFonts w:hint="eastAsia" w:ascii="黑体" w:hAnsi="黑体" w:eastAsia="黑体"/>
                <w:spacing w:val="15"/>
                <w:sz w:val="22"/>
                <w:szCs w:val="24"/>
              </w:rPr>
            </w:pPr>
            <w:r>
              <w:rPr>
                <w:rFonts w:hint="eastAsia" w:ascii="黑体" w:hAnsi="黑体" w:eastAsia="黑体"/>
                <w:spacing w:val="15"/>
                <w:sz w:val="22"/>
                <w:szCs w:val="24"/>
              </w:rPr>
              <w:t>一级指标</w:t>
            </w:r>
          </w:p>
        </w:tc>
        <w:tc>
          <w:tcPr>
            <w:tcW w:w="3388" w:type="dxa"/>
            <w:vAlign w:val="center"/>
          </w:tcPr>
          <w:p>
            <w:pPr>
              <w:ind w:firstLine="125" w:firstLineChars="50"/>
              <w:jc w:val="center"/>
              <w:rPr>
                <w:rFonts w:hint="eastAsia" w:ascii="黑体" w:hAnsi="黑体" w:eastAsia="黑体"/>
                <w:spacing w:val="15"/>
                <w:sz w:val="22"/>
                <w:szCs w:val="24"/>
              </w:rPr>
            </w:pPr>
            <w:r>
              <w:rPr>
                <w:rFonts w:hint="eastAsia" w:ascii="黑体" w:hAnsi="黑体" w:eastAsia="黑体"/>
                <w:spacing w:val="15"/>
                <w:sz w:val="22"/>
                <w:szCs w:val="24"/>
              </w:rPr>
              <w:t>二级指标</w:t>
            </w:r>
          </w:p>
        </w:tc>
        <w:tc>
          <w:tcPr>
            <w:tcW w:w="3812" w:type="dxa"/>
            <w:vAlign w:val="center"/>
          </w:tcPr>
          <w:p>
            <w:pPr>
              <w:jc w:val="center"/>
              <w:rPr>
                <w:rFonts w:hint="eastAsia" w:ascii="黑体" w:hAnsi="黑体" w:eastAsia="黑体"/>
                <w:sz w:val="22"/>
                <w:szCs w:val="24"/>
              </w:rPr>
            </w:pPr>
            <w:r>
              <w:rPr>
                <w:rFonts w:hint="eastAsia" w:ascii="黑体" w:hAnsi="黑体" w:eastAsia="黑体"/>
                <w:sz w:val="22"/>
                <w:szCs w:val="24"/>
              </w:rPr>
              <w:t>评价结果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1.课程实施情况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学校按照课程方案，落实课程标准与教学计划的具体情况，包括国家课程、地方课程和校本课程的开设情况，思政、科学、音乐、美术、劳动、心理健康教育和实验课程的开设情况等。</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2.“五项管理”情况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落实教育部和甘肃省关于中小学生手机、睡眠、读物、作业、体质等“五项管理”的具体情况，存在的问题和落实过程中出现的困难等。</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3.教学管理情况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学校根据课程改革的要求和学校具体情况，制订并落实提高教学质量的管理措施和推进课堂教学改革有效策略的情况。</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4.教师备课情况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包括对课程目标的理解、教学内容的把握、教学方式的选择、学情学法的研究、教学环节的设计、作业练习的设计等。</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5.课堂教学情况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教师围绕立德树人根本任务，渗透核心素养理念，积极转变教与学的方式，营造学生自主、合作、探究的学习氛围，优化学生评价，提高课堂教学质量等。</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6.课后服务情况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包括学校课后服务的时间、内容、形式、收费、引入校外优质教育资源、实施效果等情况，特别是指导学生在校内完成家庭作业和开展科学教育的具体情况。</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z w:val="22"/>
                <w:szCs w:val="24"/>
              </w:rPr>
            </w:pPr>
            <w:r>
              <w:rPr>
                <w:rFonts w:hint="eastAsia" w:ascii="黑体" w:hAnsi="黑体" w:eastAsia="黑体"/>
                <w:spacing w:val="15"/>
                <w:sz w:val="22"/>
                <w:szCs w:val="24"/>
              </w:rPr>
              <w:t>7.教学研究情况</w:t>
            </w:r>
          </w:p>
        </w:tc>
        <w:tc>
          <w:tcPr>
            <w:tcW w:w="3388" w:type="dxa"/>
            <w:vAlign w:val="center"/>
          </w:tcPr>
          <w:p>
            <w:pPr>
              <w:rPr>
                <w:rFonts w:hint="eastAsia" w:ascii="楷体_GB2312" w:eastAsia="楷体_GB2312"/>
                <w:sz w:val="22"/>
                <w:szCs w:val="24"/>
              </w:rPr>
            </w:pPr>
            <w:r>
              <w:rPr>
                <w:rFonts w:hint="eastAsia" w:ascii="楷体_GB2312" w:eastAsia="楷体_GB2312"/>
                <w:sz w:val="22"/>
                <w:szCs w:val="24"/>
              </w:rPr>
              <w:t>学校积极开展研学课标、研透教材、研活教学等学科教学研讨和集体备课活动，有组织地开展课题研究、教学成果推广、教研培训等情况。</w:t>
            </w:r>
          </w:p>
        </w:tc>
        <w:tc>
          <w:tcPr>
            <w:tcW w:w="3812" w:type="dxa"/>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pacing w:val="15"/>
                <w:sz w:val="22"/>
                <w:szCs w:val="24"/>
              </w:rPr>
            </w:pPr>
            <w:r>
              <w:rPr>
                <w:rFonts w:hint="eastAsia" w:ascii="黑体" w:hAnsi="黑体" w:eastAsia="黑体"/>
                <w:spacing w:val="15"/>
                <w:sz w:val="22"/>
                <w:szCs w:val="24"/>
              </w:rPr>
              <w:t>存在的问题</w:t>
            </w:r>
          </w:p>
        </w:tc>
        <w:tc>
          <w:tcPr>
            <w:tcW w:w="7200" w:type="dxa"/>
            <w:gridSpan w:val="2"/>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pacing w:val="15"/>
                <w:sz w:val="22"/>
                <w:szCs w:val="24"/>
              </w:rPr>
            </w:pPr>
            <w:r>
              <w:rPr>
                <w:rFonts w:hint="eastAsia" w:ascii="黑体" w:hAnsi="黑体" w:eastAsia="黑体"/>
                <w:spacing w:val="15"/>
                <w:sz w:val="22"/>
                <w:szCs w:val="24"/>
              </w:rPr>
              <w:t>意见和建议</w:t>
            </w:r>
          </w:p>
        </w:tc>
        <w:tc>
          <w:tcPr>
            <w:tcW w:w="7200" w:type="dxa"/>
            <w:gridSpan w:val="2"/>
            <w:vAlign w:val="center"/>
          </w:tcPr>
          <w:p>
            <w:pPr>
              <w:rPr>
                <w:rFonts w:hint="eastAsia" w:ascii="楷体_GB2312" w:eastAsia="楷体_GB2312"/>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4" w:hRule="atLeast"/>
        </w:trPr>
        <w:tc>
          <w:tcPr>
            <w:tcW w:w="1519" w:type="dxa"/>
            <w:vAlign w:val="center"/>
          </w:tcPr>
          <w:p>
            <w:pPr>
              <w:jc w:val="center"/>
              <w:rPr>
                <w:rFonts w:hint="eastAsia" w:ascii="黑体" w:hAnsi="黑体" w:eastAsia="黑体"/>
                <w:spacing w:val="15"/>
                <w:sz w:val="22"/>
                <w:szCs w:val="24"/>
              </w:rPr>
            </w:pPr>
            <w:r>
              <w:rPr>
                <w:rFonts w:hint="eastAsia" w:ascii="黑体" w:hAnsi="黑体" w:eastAsia="黑体"/>
                <w:spacing w:val="15"/>
                <w:sz w:val="22"/>
                <w:szCs w:val="24"/>
              </w:rPr>
              <w:t>其他</w:t>
            </w:r>
          </w:p>
        </w:tc>
        <w:tc>
          <w:tcPr>
            <w:tcW w:w="7200" w:type="dxa"/>
            <w:gridSpan w:val="2"/>
            <w:vAlign w:val="center"/>
          </w:tcPr>
          <w:p>
            <w:pPr>
              <w:rPr>
                <w:rFonts w:hint="eastAsia" w:ascii="楷体_GB2312" w:eastAsia="楷体_GB2312"/>
                <w:sz w:val="22"/>
                <w:szCs w:val="24"/>
              </w:rPr>
            </w:pPr>
          </w:p>
        </w:tc>
      </w:tr>
    </w:tbl>
    <w:p>
      <w:pPr>
        <w:rPr>
          <w:rFonts w:hint="eastAsia" w:ascii="仿宋_GB2312" w:eastAsia="仿宋_GB2312"/>
          <w:sz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70CDD1-9FCB-4969-926F-872B453EA5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2EB4278B-E2C3-4136-8202-3DBA0CAE1D04}"/>
  </w:font>
  <w:font w:name="方正小标宋简体">
    <w:panose1 w:val="02000000000000000000"/>
    <w:charset w:val="86"/>
    <w:family w:val="auto"/>
    <w:pitch w:val="default"/>
    <w:sig w:usb0="00000001" w:usb1="08000000" w:usb2="00000000" w:usb3="00000000" w:csb0="00040000" w:csb1="00000000"/>
    <w:embedRegular r:id="rId3" w:fontKey="{C3089791-6040-4DED-B943-7E036346D855}"/>
  </w:font>
  <w:font w:name="仿宋_GB2312">
    <w:panose1 w:val="02010609030101010101"/>
    <w:charset w:val="86"/>
    <w:family w:val="modern"/>
    <w:pitch w:val="default"/>
    <w:sig w:usb0="00000001" w:usb1="080E0000" w:usb2="00000000" w:usb3="00000000" w:csb0="00040000" w:csb1="00000000"/>
    <w:embedRegular r:id="rId4" w:fontKey="{086BFE52-E674-4520-B36B-D1008A1693F4}"/>
  </w:font>
  <w:font w:name="楷体_GB2312">
    <w:panose1 w:val="02010609030101010101"/>
    <w:charset w:val="86"/>
    <w:family w:val="modern"/>
    <w:pitch w:val="default"/>
    <w:sig w:usb0="00000001" w:usb1="080E0000" w:usb2="00000000" w:usb3="00000000" w:csb0="00040000" w:csb1="00000000"/>
    <w:embedRegular r:id="rId5" w:fontKey="{1D35E985-A66E-45F6-BEE3-5531E043C2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0ODRhNThmYzM5ZmYyZDEwODRiZGM4MGE5ZGY3M2UifQ=="/>
  </w:docVars>
  <w:rsids>
    <w:rsidRoot w:val="003B77A9"/>
    <w:rsid w:val="002E4702"/>
    <w:rsid w:val="003B77A9"/>
    <w:rsid w:val="0051728A"/>
    <w:rsid w:val="00CC2CD3"/>
    <w:rsid w:val="00CF1533"/>
    <w:rsid w:val="15AA7130"/>
    <w:rsid w:val="32CD7BD0"/>
    <w:rsid w:val="3FB53538"/>
    <w:rsid w:val="5F944AC0"/>
    <w:rsid w:val="7C68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Micorosoft</Company>
  <Pages>2</Pages>
  <Words>118</Words>
  <Characters>676</Characters>
  <Lines>5</Lines>
  <Paragraphs>1</Paragraphs>
  <TotalTime>21</TotalTime>
  <ScaleCrop>false</ScaleCrop>
  <LinksUpToDate>false</LinksUpToDate>
  <CharactersWithSpaces>793</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2024-03-21T03:01:00Z</dcterms:created>
  <dc:creator>Windows 用户</dc:creator>
  <cp:lastModifiedBy>文婕</cp:lastModifiedBy>
  <cp:lastPrinted>2024-03-21T09:08:50Z</cp:lastPrinted>
  <dcterms:modified xsi:type="dcterms:W3CDTF">2024-03-21T09:22:13Z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251B0C9419A54761987908697A0733EC_12</vt:lpwstr>
  </property>
</Properties>
</file>