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20E56890">
      <w:pPr>
        <w:rPr>
          <w:sz w:val="32"/>
          <w:szCs w:val="32"/>
        </w:rPr>
      </w:pPr>
    </w:p>
    <w:p w14:paraId="7B0233F9">
      <w:pPr>
        <w:rPr>
          <w:sz w:val="32"/>
          <w:szCs w:val="32"/>
        </w:rPr>
      </w:pPr>
    </w:p>
    <w:p w14:paraId="1BE925E5">
      <w:pPr>
        <w:spacing w:line="576" w:lineRule="exact"/>
        <w:jc w:val="center"/>
        <w:rPr>
          <w:rFonts w:ascii="方正小标宋简体" w:eastAsia="方正小标宋简体"/>
          <w:sz w:val="44"/>
          <w:szCs w:val="44"/>
        </w:rPr>
      </w:pPr>
      <w:bookmarkStart w:id="0" w:name="OLE_LINK4"/>
      <w:r>
        <w:rPr>
          <w:rFonts w:hint="eastAsia" w:ascii="方正小标宋简体" w:eastAsia="方正小标宋简体"/>
          <w:sz w:val="44"/>
          <w:szCs w:val="44"/>
        </w:rPr>
        <w:t>甘肃省政府采购代理机构管理办法</w:t>
      </w:r>
    </w:p>
    <w:bookmarkEnd w:id="0"/>
    <w:p w14:paraId="5A5F83E7">
      <w:pPr>
        <w:spacing w:line="576" w:lineRule="exact"/>
        <w:jc w:val="center"/>
        <w:rPr>
          <w:rFonts w:ascii="方正小标宋简体" w:eastAsia="方正小标宋简体"/>
          <w:sz w:val="44"/>
          <w:szCs w:val="44"/>
        </w:rPr>
      </w:pPr>
      <w:r>
        <w:rPr>
          <w:rFonts w:ascii="方正小标宋简体" w:eastAsia="方正小标宋简体"/>
          <w:sz w:val="44"/>
          <w:szCs w:val="44"/>
        </w:rPr>
        <w:t>(</w:t>
      </w:r>
      <w:r>
        <w:rPr>
          <w:rFonts w:hint="eastAsia" w:ascii="方正小标宋简体" w:eastAsia="方正小标宋简体"/>
          <w:sz w:val="44"/>
          <w:szCs w:val="44"/>
        </w:rPr>
        <w:t>征求意见稿</w:t>
      </w:r>
      <w:r>
        <w:rPr>
          <w:rFonts w:ascii="方正小标宋简体" w:eastAsia="方正小标宋简体"/>
          <w:sz w:val="44"/>
          <w:szCs w:val="44"/>
        </w:rPr>
        <w:t>)</w:t>
      </w:r>
    </w:p>
    <w:p w14:paraId="1D541A39">
      <w:pPr>
        <w:spacing w:line="576" w:lineRule="exact"/>
        <w:ind w:firstLine="2720" w:firstLineChars="850"/>
        <w:rPr>
          <w:rFonts w:ascii="黑体" w:hAnsi="黑体" w:eastAsia="黑体"/>
          <w:sz w:val="32"/>
          <w:szCs w:val="32"/>
        </w:rPr>
      </w:pPr>
      <w:bookmarkStart w:id="15" w:name="_GoBack"/>
      <w:bookmarkEnd w:id="15"/>
    </w:p>
    <w:p w14:paraId="3E7EC65D">
      <w:pPr>
        <w:spacing w:line="576" w:lineRule="exact"/>
        <w:ind w:firstLine="2720" w:firstLineChars="850"/>
        <w:rPr>
          <w:rFonts w:ascii="黑体" w:hAnsi="黑体" w:eastAsia="黑体"/>
          <w:sz w:val="32"/>
          <w:szCs w:val="32"/>
        </w:rPr>
      </w:pPr>
      <w:r>
        <w:rPr>
          <w:rFonts w:hint="eastAsia" w:ascii="黑体" w:hAnsi="黑体" w:eastAsia="黑体"/>
          <w:sz w:val="32"/>
          <w:szCs w:val="32"/>
        </w:rPr>
        <w:t>第一章 总 则</w:t>
      </w:r>
    </w:p>
    <w:p w14:paraId="208CA678">
      <w:pPr>
        <w:spacing w:line="600" w:lineRule="exact"/>
        <w:ind w:firstLine="640" w:firstLineChars="200"/>
        <w:rPr>
          <w:rFonts w:ascii="仿宋_GB2312" w:eastAsia="仿宋_GB2312"/>
          <w:sz w:val="32"/>
          <w:szCs w:val="32"/>
        </w:rPr>
      </w:pPr>
      <w:r>
        <w:rPr>
          <w:rFonts w:hint="eastAsia" w:ascii="仿宋_GB2312" w:eastAsia="仿宋_GB2312"/>
          <w:sz w:val="32"/>
          <w:szCs w:val="32"/>
        </w:rPr>
        <w:t>第一条 为加强政府采购代理机构监督管理，促进政府采购代理机构规范化、专业化发展,</w:t>
      </w:r>
      <w:r>
        <w:rPr>
          <w:rFonts w:hint="eastAsia"/>
        </w:rPr>
        <w:t xml:space="preserve"> </w:t>
      </w:r>
      <w:r>
        <w:rPr>
          <w:rFonts w:hint="eastAsia" w:ascii="仿宋_GB2312" w:eastAsia="仿宋_GB2312"/>
          <w:sz w:val="32"/>
          <w:szCs w:val="32"/>
        </w:rPr>
        <w:t>提升代理机构服务水平，持续优化营商环境，根据《中华人民共和国政府采购法》《中华人民共和国政府采购法实施条例》《政府采购代理机构管理暂行办法》《政府采购代理机构监督检查暂行办法》《甘肃省公共信用综合评价和分级分类监管办法》及其他相关法律法规规定,结合甘肃省实际,制定本办法。</w:t>
      </w:r>
    </w:p>
    <w:p w14:paraId="4EDB0469">
      <w:pPr>
        <w:spacing w:line="600" w:lineRule="exact"/>
        <w:ind w:firstLine="640" w:firstLineChars="200"/>
        <w:rPr>
          <w:rFonts w:ascii="仿宋_GB2312" w:eastAsia="仿宋_GB2312"/>
          <w:sz w:val="32"/>
          <w:szCs w:val="32"/>
        </w:rPr>
      </w:pPr>
      <w:r>
        <w:rPr>
          <w:rFonts w:hint="eastAsia" w:ascii="仿宋_GB2312" w:eastAsia="仿宋_GB2312"/>
          <w:sz w:val="32"/>
          <w:szCs w:val="32"/>
        </w:rPr>
        <w:t>第二条 本办法所称政府采购代理机构(以下简称代理机构)是指在甘肃省行政区域内开展政府采购</w:t>
      </w:r>
      <w:r>
        <w:rPr>
          <w:rFonts w:ascii="仿宋_GB2312" w:eastAsia="仿宋_GB2312"/>
          <w:sz w:val="32"/>
          <w:szCs w:val="32"/>
        </w:rPr>
        <w:t>项目代理</w:t>
      </w:r>
      <w:r>
        <w:rPr>
          <w:rFonts w:hint="eastAsia" w:ascii="仿宋_GB2312" w:eastAsia="仿宋_GB2312"/>
          <w:sz w:val="32"/>
          <w:szCs w:val="32"/>
        </w:rPr>
        <w:t>业务</w:t>
      </w:r>
      <w:r>
        <w:rPr>
          <w:rFonts w:ascii="仿宋_GB2312" w:eastAsia="仿宋_GB2312"/>
          <w:sz w:val="32"/>
          <w:szCs w:val="32"/>
        </w:rPr>
        <w:t>的</w:t>
      </w:r>
      <w:r>
        <w:rPr>
          <w:rFonts w:hint="eastAsia" w:ascii="仿宋_GB2312" w:eastAsia="仿宋_GB2312"/>
          <w:sz w:val="32"/>
          <w:szCs w:val="32"/>
        </w:rPr>
        <w:t>社会代理机构。政府采购代理机构的名录登记、名录注销、从业管理、监督检查及履职评价适用本办法。</w:t>
      </w:r>
    </w:p>
    <w:p w14:paraId="43452089">
      <w:pPr>
        <w:spacing w:line="600" w:lineRule="exact"/>
        <w:ind w:firstLine="640" w:firstLineChars="200"/>
        <w:rPr>
          <w:rFonts w:ascii="仿宋_GB2312" w:eastAsia="仿宋_GB2312"/>
          <w:sz w:val="32"/>
          <w:szCs w:val="32"/>
        </w:rPr>
      </w:pPr>
      <w:r>
        <w:rPr>
          <w:rFonts w:hint="eastAsia" w:ascii="仿宋_GB2312" w:eastAsia="仿宋_GB2312"/>
          <w:sz w:val="32"/>
          <w:szCs w:val="32"/>
        </w:rPr>
        <w:t>第三条 按照省级统一领导、分级监管的原则，各级财政部门根据采购预算级次，依法对代理机构从事政府采购代理业务进行监督管理。</w:t>
      </w:r>
    </w:p>
    <w:p w14:paraId="4DFE134B">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第四条 </w:t>
      </w:r>
      <w:r>
        <w:rPr>
          <w:rFonts w:ascii="仿宋_GB2312" w:eastAsia="仿宋_GB2312"/>
          <w:sz w:val="32"/>
          <w:szCs w:val="32"/>
        </w:rPr>
        <w:t>代理机构应当</w:t>
      </w:r>
      <w:r>
        <w:rPr>
          <w:rFonts w:hint="eastAsia" w:ascii="仿宋_GB2312" w:eastAsia="仿宋_GB2312"/>
          <w:sz w:val="32"/>
          <w:szCs w:val="32"/>
        </w:rPr>
        <w:t>遵循</w:t>
      </w:r>
      <w:r>
        <w:rPr>
          <w:rFonts w:ascii="仿宋_GB2312" w:eastAsia="仿宋_GB2312"/>
          <w:sz w:val="32"/>
          <w:szCs w:val="32"/>
        </w:rPr>
        <w:t>公开、公平、公正</w:t>
      </w:r>
      <w:r>
        <w:rPr>
          <w:rFonts w:hint="eastAsia" w:ascii="仿宋_GB2312" w:eastAsia="仿宋_GB2312"/>
          <w:sz w:val="32"/>
          <w:szCs w:val="32"/>
        </w:rPr>
        <w:t>、</w:t>
      </w:r>
      <w:r>
        <w:rPr>
          <w:rFonts w:ascii="仿宋_GB2312" w:eastAsia="仿宋_GB2312"/>
          <w:sz w:val="32"/>
          <w:szCs w:val="32"/>
        </w:rPr>
        <w:t>诚信和效率原则，</w:t>
      </w:r>
      <w:r>
        <w:rPr>
          <w:rFonts w:hint="eastAsia" w:ascii="仿宋_GB2312" w:eastAsia="仿宋_GB2312"/>
          <w:sz w:val="32"/>
          <w:szCs w:val="32"/>
        </w:rPr>
        <w:t>依法依规开展政府采购业务代理，持续提高业务水平和服务质量，自觉接受社会监督管理。</w:t>
      </w:r>
    </w:p>
    <w:p w14:paraId="2736F0D3">
      <w:pPr>
        <w:spacing w:line="600" w:lineRule="exact"/>
        <w:ind w:firstLine="640" w:firstLineChars="200"/>
        <w:jc w:val="center"/>
        <w:rPr>
          <w:rFonts w:ascii="黑体" w:hAnsi="黑体" w:eastAsia="黑体"/>
          <w:sz w:val="32"/>
          <w:szCs w:val="32"/>
        </w:rPr>
      </w:pPr>
      <w:r>
        <w:rPr>
          <w:rFonts w:hint="eastAsia" w:ascii="黑体" w:hAnsi="黑体" w:eastAsia="黑体"/>
          <w:sz w:val="32"/>
          <w:szCs w:val="32"/>
        </w:rPr>
        <w:t>第二章 代理机构名录登记管理</w:t>
      </w:r>
    </w:p>
    <w:p w14:paraId="01C19A8F">
      <w:pPr>
        <w:spacing w:line="576" w:lineRule="exact"/>
        <w:ind w:firstLine="640" w:firstLineChars="200"/>
        <w:rPr>
          <w:rFonts w:ascii="仿宋_GB2312" w:eastAsia="仿宋_GB2312"/>
          <w:sz w:val="32"/>
          <w:szCs w:val="32"/>
        </w:rPr>
      </w:pPr>
      <w:r>
        <w:rPr>
          <w:rFonts w:hint="eastAsia" w:ascii="仿宋_GB2312" w:eastAsia="仿宋_GB2312"/>
          <w:sz w:val="32"/>
          <w:szCs w:val="32"/>
        </w:rPr>
        <w:t>第五条 代理机构实行名录登记管理。省财政厅依托“中国政府采购网”建立甘肃省政府采购代理机构名录库(以下简称“名录库”)。名录库信息全国共享并向社会公开。</w:t>
      </w:r>
    </w:p>
    <w:p w14:paraId="7B53137F">
      <w:pPr>
        <w:spacing w:line="576" w:lineRule="exact"/>
        <w:ind w:firstLine="640" w:firstLineChars="200"/>
        <w:rPr>
          <w:rFonts w:ascii="仿宋_GB2312" w:eastAsia="仿宋_GB2312"/>
          <w:sz w:val="32"/>
          <w:szCs w:val="32"/>
        </w:rPr>
      </w:pPr>
      <w:r>
        <w:rPr>
          <w:rFonts w:hint="eastAsia" w:ascii="仿宋_GB2312" w:eastAsia="仿宋_GB2312"/>
          <w:sz w:val="32"/>
          <w:szCs w:val="32"/>
        </w:rPr>
        <w:t>第六条 代理机构从事政府采购代理业务应登录中国政府采购网“政府采购代理机构在线登记”模块，登记地点选择甘肃省分网登记相关信息，并承诺对填报信息真实性负责：</w:t>
      </w:r>
    </w:p>
    <w:p w14:paraId="3D1FEE25">
      <w:pPr>
        <w:spacing w:line="576" w:lineRule="exact"/>
        <w:ind w:firstLine="640" w:firstLineChars="200"/>
        <w:jc w:val="left"/>
        <w:rPr>
          <w:rFonts w:ascii="仿宋_GB2312" w:eastAsia="仿宋_GB2312"/>
          <w:sz w:val="32"/>
          <w:szCs w:val="32"/>
        </w:rPr>
      </w:pPr>
      <w:r>
        <w:rPr>
          <w:rFonts w:hint="eastAsia" w:ascii="仿宋_GB2312" w:eastAsia="仿宋_GB2312"/>
          <w:sz w:val="32"/>
          <w:szCs w:val="32"/>
        </w:rPr>
        <w:t>（一）代理机构基本</w:t>
      </w:r>
      <w:r>
        <w:rPr>
          <w:rFonts w:ascii="仿宋_GB2312" w:eastAsia="仿宋_GB2312"/>
          <w:sz w:val="32"/>
          <w:szCs w:val="32"/>
        </w:rPr>
        <w:t>信息</w:t>
      </w:r>
      <w:r>
        <w:rPr>
          <w:rFonts w:hint="eastAsia" w:ascii="仿宋_GB2312" w:eastAsia="仿宋_GB2312"/>
          <w:sz w:val="32"/>
          <w:szCs w:val="32"/>
        </w:rPr>
        <w:t>。包含代理机构名称、统一社会信用代码、营业执照、法定</w:t>
      </w:r>
      <w:r>
        <w:rPr>
          <w:rFonts w:ascii="仿宋_GB2312" w:eastAsia="仿宋_GB2312"/>
          <w:sz w:val="32"/>
          <w:szCs w:val="32"/>
        </w:rPr>
        <w:t>代表人</w:t>
      </w:r>
      <w:r>
        <w:rPr>
          <w:rFonts w:hint="eastAsia" w:ascii="仿宋_GB2312" w:eastAsia="仿宋_GB2312"/>
          <w:sz w:val="32"/>
          <w:szCs w:val="32"/>
        </w:rPr>
        <w:t>信息</w:t>
      </w:r>
      <w:r>
        <w:rPr>
          <w:rFonts w:ascii="仿宋_GB2312" w:eastAsia="仿宋_GB2312"/>
          <w:sz w:val="32"/>
          <w:szCs w:val="32"/>
        </w:rPr>
        <w:t>、</w:t>
      </w:r>
      <w:r>
        <w:rPr>
          <w:rFonts w:hint="eastAsia" w:ascii="仿宋_GB2312" w:eastAsia="仿宋_GB2312"/>
          <w:sz w:val="32"/>
          <w:szCs w:val="32"/>
        </w:rPr>
        <w:t>业务联系人</w:t>
      </w:r>
      <w:r>
        <w:rPr>
          <w:rFonts w:ascii="仿宋_GB2312" w:eastAsia="仿宋_GB2312"/>
          <w:sz w:val="32"/>
          <w:szCs w:val="32"/>
        </w:rPr>
        <w:t>信息</w:t>
      </w:r>
      <w:r>
        <w:rPr>
          <w:rFonts w:hint="eastAsia" w:ascii="仿宋_GB2312" w:eastAsia="仿宋_GB2312"/>
          <w:sz w:val="32"/>
          <w:szCs w:val="32"/>
        </w:rPr>
        <w:t>等;</w:t>
      </w:r>
    </w:p>
    <w:p w14:paraId="0CFFC75A">
      <w:pPr>
        <w:spacing w:line="576" w:lineRule="exact"/>
        <w:ind w:firstLine="640" w:firstLineChars="200"/>
        <w:jc w:val="left"/>
        <w:rPr>
          <w:rFonts w:ascii="仿宋_GB2312" w:eastAsia="仿宋_GB2312"/>
          <w:sz w:val="32"/>
          <w:szCs w:val="32"/>
        </w:rPr>
      </w:pPr>
      <w:r>
        <w:rPr>
          <w:rFonts w:hint="eastAsia" w:ascii="仿宋_GB2312" w:eastAsia="仿宋_GB2312"/>
          <w:sz w:val="32"/>
          <w:szCs w:val="32"/>
        </w:rPr>
        <w:t>（二）办公场所</w:t>
      </w:r>
      <w:r>
        <w:rPr>
          <w:rFonts w:ascii="仿宋_GB2312" w:eastAsia="仿宋_GB2312"/>
          <w:sz w:val="32"/>
          <w:szCs w:val="32"/>
        </w:rPr>
        <w:t>、办公条件和设施</w:t>
      </w:r>
      <w:r>
        <w:rPr>
          <w:rFonts w:hint="eastAsia" w:ascii="仿宋_GB2312" w:eastAsia="仿宋_GB2312"/>
          <w:sz w:val="32"/>
          <w:szCs w:val="32"/>
        </w:rPr>
        <w:t>信息。包含证明具有独立办公场所的不动产产权证明或者房屋租赁合同扫描件、</w:t>
      </w:r>
      <w:r>
        <w:rPr>
          <w:rFonts w:ascii="仿宋_GB2312" w:eastAsia="仿宋_GB2312"/>
          <w:sz w:val="32"/>
          <w:szCs w:val="32"/>
        </w:rPr>
        <w:t>办公</w:t>
      </w:r>
      <w:r>
        <w:rPr>
          <w:rFonts w:hint="eastAsia" w:ascii="仿宋_GB2312" w:eastAsia="仿宋_GB2312"/>
          <w:sz w:val="32"/>
          <w:szCs w:val="32"/>
        </w:rPr>
        <w:t>场所内外</w:t>
      </w:r>
      <w:r>
        <w:rPr>
          <w:rFonts w:ascii="仿宋_GB2312" w:eastAsia="仿宋_GB2312"/>
          <w:sz w:val="32"/>
          <w:szCs w:val="32"/>
        </w:rPr>
        <w:t>照片</w:t>
      </w:r>
      <w:r>
        <w:rPr>
          <w:rFonts w:hint="eastAsia" w:ascii="仿宋_GB2312" w:eastAsia="仿宋_GB2312"/>
          <w:sz w:val="32"/>
          <w:szCs w:val="32"/>
        </w:rPr>
        <w:t>、</w:t>
      </w:r>
      <w:r>
        <w:rPr>
          <w:rFonts w:ascii="仿宋_GB2312" w:eastAsia="仿宋_GB2312"/>
          <w:sz w:val="32"/>
          <w:szCs w:val="32"/>
        </w:rPr>
        <w:t>办公条件和设施</w:t>
      </w:r>
      <w:r>
        <w:rPr>
          <w:rFonts w:hint="eastAsia" w:ascii="仿宋_GB2312" w:eastAsia="仿宋_GB2312"/>
          <w:sz w:val="32"/>
          <w:szCs w:val="32"/>
        </w:rPr>
        <w:t>照片等；</w:t>
      </w:r>
    </w:p>
    <w:p w14:paraId="4B8F8D3A">
      <w:pPr>
        <w:spacing w:line="576" w:lineRule="exact"/>
        <w:ind w:firstLine="640" w:firstLineChars="200"/>
        <w:jc w:val="left"/>
        <w:rPr>
          <w:rFonts w:ascii="仿宋_GB2312" w:eastAsia="仿宋_GB2312"/>
          <w:sz w:val="32"/>
          <w:szCs w:val="32"/>
        </w:rPr>
      </w:pPr>
      <w:r>
        <w:rPr>
          <w:rFonts w:hint="eastAsia" w:ascii="仿宋_GB2312" w:eastAsia="仿宋_GB2312"/>
          <w:sz w:val="32"/>
          <w:szCs w:val="32"/>
        </w:rPr>
        <w:t>（三）评审</w:t>
      </w:r>
      <w:r>
        <w:rPr>
          <w:rFonts w:ascii="仿宋_GB2312" w:eastAsia="仿宋_GB2312"/>
          <w:sz w:val="32"/>
          <w:szCs w:val="32"/>
        </w:rPr>
        <w:t>条件和设施信息</w:t>
      </w:r>
      <w:r>
        <w:rPr>
          <w:rFonts w:hint="eastAsia" w:ascii="仿宋_GB2312" w:eastAsia="仿宋_GB2312"/>
          <w:sz w:val="32"/>
          <w:szCs w:val="32"/>
        </w:rPr>
        <w:t>。在</w:t>
      </w:r>
      <w:r>
        <w:rPr>
          <w:rFonts w:ascii="仿宋_GB2312" w:eastAsia="仿宋_GB2312"/>
          <w:sz w:val="32"/>
          <w:szCs w:val="32"/>
        </w:rPr>
        <w:t>自</w:t>
      </w:r>
      <w:r>
        <w:rPr>
          <w:rFonts w:hint="eastAsia" w:ascii="仿宋_GB2312" w:eastAsia="仿宋_GB2312"/>
          <w:sz w:val="32"/>
          <w:szCs w:val="32"/>
        </w:rPr>
        <w:t>有场所组织评审工作的，提供开标、评审场地内、外</w:t>
      </w:r>
      <w:r>
        <w:rPr>
          <w:rFonts w:ascii="仿宋_GB2312" w:eastAsia="仿宋_GB2312"/>
          <w:sz w:val="32"/>
          <w:szCs w:val="32"/>
        </w:rPr>
        <w:t>照片</w:t>
      </w:r>
      <w:r>
        <w:rPr>
          <w:rFonts w:hint="eastAsia" w:ascii="仿宋_GB2312" w:eastAsia="仿宋_GB2312"/>
          <w:sz w:val="32"/>
          <w:szCs w:val="32"/>
        </w:rPr>
        <w:t>，录音录像设备照片，对角无死角固定监控设备</w:t>
      </w:r>
      <w:r>
        <w:rPr>
          <w:rFonts w:ascii="仿宋_GB2312" w:eastAsia="仿宋_GB2312"/>
          <w:sz w:val="32"/>
          <w:szCs w:val="32"/>
        </w:rPr>
        <w:t>照片</w:t>
      </w:r>
      <w:r>
        <w:rPr>
          <w:rFonts w:hint="eastAsia" w:ascii="仿宋_GB2312" w:eastAsia="仿宋_GB2312"/>
          <w:sz w:val="32"/>
          <w:szCs w:val="32"/>
        </w:rPr>
        <w:t>；</w:t>
      </w:r>
      <w:r>
        <w:rPr>
          <w:rFonts w:ascii="仿宋_GB2312" w:eastAsia="仿宋_GB2312"/>
          <w:sz w:val="32"/>
          <w:szCs w:val="32"/>
        </w:rPr>
        <w:t>在</w:t>
      </w:r>
      <w:r>
        <w:rPr>
          <w:rFonts w:hint="eastAsia" w:ascii="仿宋_GB2312" w:eastAsia="仿宋_GB2312"/>
          <w:sz w:val="32"/>
          <w:szCs w:val="32"/>
        </w:rPr>
        <w:t>非</w:t>
      </w:r>
      <w:r>
        <w:rPr>
          <w:rFonts w:ascii="仿宋_GB2312" w:eastAsia="仿宋_GB2312"/>
          <w:sz w:val="32"/>
          <w:szCs w:val="32"/>
        </w:rPr>
        <w:t>自</w:t>
      </w:r>
      <w:r>
        <w:rPr>
          <w:rFonts w:hint="eastAsia" w:ascii="仿宋_GB2312" w:eastAsia="仿宋_GB2312"/>
          <w:sz w:val="32"/>
          <w:szCs w:val="32"/>
        </w:rPr>
        <w:t>有场所组织评审工作的，</w:t>
      </w:r>
      <w:r>
        <w:rPr>
          <w:rFonts w:ascii="仿宋_GB2312" w:eastAsia="仿宋_GB2312"/>
          <w:sz w:val="32"/>
          <w:szCs w:val="32"/>
        </w:rPr>
        <w:t>还应提供</w:t>
      </w:r>
      <w:r>
        <w:rPr>
          <w:rFonts w:hint="eastAsia" w:ascii="仿宋_GB2312" w:eastAsia="仿宋_GB2312"/>
          <w:sz w:val="32"/>
          <w:szCs w:val="32"/>
        </w:rPr>
        <w:t>对</w:t>
      </w:r>
      <w:r>
        <w:rPr>
          <w:rFonts w:ascii="仿宋_GB2312" w:eastAsia="仿宋_GB2312"/>
          <w:sz w:val="32"/>
          <w:szCs w:val="32"/>
        </w:rPr>
        <w:t>场所</w:t>
      </w:r>
      <w:r>
        <w:rPr>
          <w:rFonts w:hint="eastAsia" w:ascii="仿宋_GB2312" w:eastAsia="仿宋_GB2312"/>
          <w:sz w:val="32"/>
          <w:szCs w:val="32"/>
        </w:rPr>
        <w:t>、录音录像设备、</w:t>
      </w:r>
      <w:r>
        <w:rPr>
          <w:rFonts w:ascii="仿宋_GB2312" w:eastAsia="仿宋_GB2312"/>
          <w:sz w:val="32"/>
          <w:szCs w:val="32"/>
        </w:rPr>
        <w:t>监控设备</w:t>
      </w:r>
      <w:r>
        <w:rPr>
          <w:rFonts w:hint="eastAsia" w:ascii="仿宋_GB2312" w:eastAsia="仿宋_GB2312"/>
          <w:sz w:val="32"/>
          <w:szCs w:val="32"/>
        </w:rPr>
        <w:t>有合法</w:t>
      </w:r>
      <w:r>
        <w:rPr>
          <w:rFonts w:ascii="仿宋_GB2312" w:eastAsia="仿宋_GB2312"/>
          <w:sz w:val="32"/>
          <w:szCs w:val="32"/>
        </w:rPr>
        <w:t>使用</w:t>
      </w:r>
      <w:r>
        <w:rPr>
          <w:rFonts w:hint="eastAsia" w:ascii="仿宋_GB2312" w:eastAsia="仿宋_GB2312"/>
          <w:sz w:val="32"/>
          <w:szCs w:val="32"/>
        </w:rPr>
        <w:t>权的</w:t>
      </w:r>
      <w:r>
        <w:rPr>
          <w:rFonts w:ascii="仿宋_GB2312" w:eastAsia="仿宋_GB2312"/>
          <w:sz w:val="32"/>
          <w:szCs w:val="32"/>
        </w:rPr>
        <w:t>证明</w:t>
      </w:r>
      <w:r>
        <w:rPr>
          <w:rFonts w:hint="eastAsia" w:ascii="仿宋_GB2312" w:eastAsia="仿宋_GB2312"/>
          <w:sz w:val="32"/>
          <w:szCs w:val="32"/>
        </w:rPr>
        <w:t>材料；</w:t>
      </w:r>
    </w:p>
    <w:p w14:paraId="5D29D97D">
      <w:pPr>
        <w:spacing w:line="576" w:lineRule="exact"/>
        <w:ind w:firstLine="640" w:firstLineChars="200"/>
        <w:rPr>
          <w:rFonts w:ascii="仿宋_GB2312" w:eastAsia="仿宋_GB2312"/>
          <w:sz w:val="32"/>
          <w:szCs w:val="32"/>
        </w:rPr>
      </w:pPr>
      <w:r>
        <w:rPr>
          <w:rFonts w:hint="eastAsia" w:ascii="仿宋_GB2312" w:eastAsia="仿宋_GB2312"/>
          <w:sz w:val="32"/>
          <w:szCs w:val="32"/>
        </w:rPr>
        <w:t>（四）不少于5名专职从业人员</w:t>
      </w:r>
      <w:r>
        <w:rPr>
          <w:rFonts w:ascii="仿宋_GB2312" w:eastAsia="仿宋_GB2312"/>
          <w:sz w:val="32"/>
          <w:szCs w:val="32"/>
        </w:rPr>
        <w:t>信息</w:t>
      </w:r>
      <w:r>
        <w:rPr>
          <w:rFonts w:hint="eastAsia" w:ascii="仿宋_GB2312" w:eastAsia="仿宋_GB2312"/>
          <w:sz w:val="32"/>
          <w:szCs w:val="32"/>
        </w:rPr>
        <w:t>。提供有效身份证明、与代理机构签订的劳动合同，代理机构依法缴纳社会保险费的凭证；</w:t>
      </w:r>
    </w:p>
    <w:p w14:paraId="29896E12">
      <w:pPr>
        <w:spacing w:line="576" w:lineRule="exact"/>
        <w:ind w:firstLine="640" w:firstLineChars="200"/>
        <w:rPr>
          <w:rFonts w:ascii="仿宋_GB2312" w:eastAsia="仿宋_GB2312"/>
          <w:sz w:val="32"/>
          <w:szCs w:val="32"/>
        </w:rPr>
      </w:pPr>
      <w:r>
        <w:rPr>
          <w:rFonts w:hint="eastAsia" w:ascii="仿宋_GB2312" w:eastAsia="仿宋_GB2312"/>
          <w:sz w:val="32"/>
          <w:szCs w:val="32"/>
        </w:rPr>
        <w:t>前述</w:t>
      </w:r>
      <w:r>
        <w:rPr>
          <w:rFonts w:ascii="仿宋_GB2312" w:eastAsia="仿宋_GB2312"/>
          <w:sz w:val="32"/>
          <w:szCs w:val="32"/>
        </w:rPr>
        <w:t>所称</w:t>
      </w:r>
      <w:r>
        <w:rPr>
          <w:rFonts w:hint="eastAsia" w:ascii="仿宋_GB2312" w:eastAsia="仿宋_GB2312"/>
          <w:sz w:val="32"/>
          <w:szCs w:val="32"/>
        </w:rPr>
        <w:t>专职从业人员，</w:t>
      </w:r>
      <w:r>
        <w:rPr>
          <w:rFonts w:ascii="仿宋_GB2312" w:eastAsia="仿宋_GB2312"/>
          <w:sz w:val="32"/>
          <w:szCs w:val="32"/>
        </w:rPr>
        <w:t>是指</w:t>
      </w:r>
      <w:r>
        <w:rPr>
          <w:rFonts w:hint="eastAsia" w:ascii="仿宋_GB2312" w:eastAsia="仿宋_GB2312"/>
          <w:sz w:val="32"/>
          <w:szCs w:val="32"/>
        </w:rPr>
        <w:t>未在其他代理机构登记从业、与代理机构签订劳动合同，并由代理机构依法缴纳社会保险费、通过业务培训且成绩合格、熟悉政府采购法律法规、具备编制采购文件和组织采购活动等相应能力的人员；</w:t>
      </w:r>
    </w:p>
    <w:p w14:paraId="18508454">
      <w:pPr>
        <w:spacing w:line="576" w:lineRule="exact"/>
        <w:ind w:firstLine="640" w:firstLineChars="200"/>
        <w:jc w:val="left"/>
        <w:rPr>
          <w:rFonts w:ascii="仿宋_GB2312" w:eastAsia="仿宋_GB2312"/>
          <w:sz w:val="32"/>
          <w:szCs w:val="32"/>
        </w:rPr>
      </w:pPr>
      <w:r>
        <w:rPr>
          <w:rFonts w:hint="eastAsia" w:ascii="仿宋_GB2312" w:eastAsia="仿宋_GB2312"/>
          <w:sz w:val="32"/>
          <w:szCs w:val="32"/>
        </w:rPr>
        <w:t>（五）政府采购内部监督管理制度信息。包括但不限于工作岗位责任制度、从业人员执业守则、从业人员采购工作培训管理制度、采购工作流程控制制度、采购文件编制审核制度、采购工作监督制度、政府采购质疑答复管理制度、采购档案管理制度、从业人员廉洁履职制度；</w:t>
      </w:r>
    </w:p>
    <w:p w14:paraId="63F1518C">
      <w:pPr>
        <w:spacing w:line="600" w:lineRule="exact"/>
        <w:ind w:firstLine="640" w:firstLineChars="200"/>
        <w:rPr>
          <w:rFonts w:ascii="仿宋_GB2312" w:eastAsia="仿宋_GB2312"/>
          <w:sz w:val="32"/>
          <w:szCs w:val="32"/>
        </w:rPr>
      </w:pPr>
      <w:r>
        <w:rPr>
          <w:rFonts w:hint="eastAsia" w:ascii="仿宋_GB2312" w:eastAsia="仿宋_GB2312"/>
          <w:sz w:val="32"/>
          <w:szCs w:val="32"/>
        </w:rPr>
        <w:t>（六）档案管理</w:t>
      </w:r>
      <w:r>
        <w:rPr>
          <w:rFonts w:ascii="仿宋_GB2312" w:eastAsia="仿宋_GB2312"/>
          <w:sz w:val="32"/>
          <w:szCs w:val="32"/>
        </w:rPr>
        <w:t>情况。</w:t>
      </w:r>
      <w:r>
        <w:rPr>
          <w:rFonts w:hint="eastAsia" w:ascii="仿宋_GB2312" w:eastAsia="仿宋_GB2312"/>
          <w:sz w:val="32"/>
          <w:szCs w:val="32"/>
        </w:rPr>
        <w:t>代理机构应当建立完善的档案管理制度，及时、准确、完整地保存政府采购项目代理过程中形成的原始记录、系列文件。采购人和代理机构在委托代理协议中约定由代理机构负责保存采购文件的，应当妥善保存采购文件，不得伪造、变造、隐匿或者销毁采购文件。</w:t>
      </w:r>
    </w:p>
    <w:p w14:paraId="3BD24931">
      <w:pPr>
        <w:spacing w:line="600" w:lineRule="exact"/>
        <w:ind w:firstLine="640" w:firstLineChars="200"/>
        <w:rPr>
          <w:rFonts w:ascii="仿宋_GB2312" w:eastAsia="仿宋_GB2312"/>
          <w:sz w:val="32"/>
          <w:szCs w:val="32"/>
        </w:rPr>
      </w:pPr>
      <w:r>
        <w:rPr>
          <w:rFonts w:hint="eastAsia" w:ascii="仿宋_GB2312" w:eastAsia="仿宋_GB2312"/>
          <w:sz w:val="32"/>
          <w:szCs w:val="32"/>
        </w:rPr>
        <w:t>（七）其他材料。</w:t>
      </w:r>
    </w:p>
    <w:p w14:paraId="0D4EB4C5">
      <w:pPr>
        <w:spacing w:line="600" w:lineRule="exact"/>
        <w:ind w:firstLine="640" w:firstLineChars="200"/>
        <w:rPr>
          <w:rFonts w:ascii="仿宋_GB2312" w:eastAsia="仿宋_GB2312"/>
          <w:sz w:val="32"/>
          <w:szCs w:val="32"/>
        </w:rPr>
      </w:pPr>
      <w:r>
        <w:rPr>
          <w:rFonts w:hint="eastAsia" w:ascii="仿宋_GB2312" w:eastAsia="仿宋_GB2312"/>
          <w:sz w:val="32"/>
          <w:szCs w:val="32"/>
        </w:rPr>
        <w:t>第七条</w:t>
      </w:r>
      <w:r>
        <w:rPr>
          <w:rFonts w:ascii="仿宋_GB2312" w:eastAsia="仿宋_GB2312"/>
          <w:sz w:val="32"/>
          <w:szCs w:val="32"/>
        </w:rPr>
        <w:t xml:space="preserve"> </w:t>
      </w:r>
      <w:r>
        <w:rPr>
          <w:rFonts w:hint="eastAsia" w:ascii="仿宋_GB2312" w:eastAsia="仿宋_GB2312"/>
          <w:sz w:val="32"/>
          <w:szCs w:val="32"/>
        </w:rPr>
        <w:t>在甘肃省行政区域以外注册的代理机构，在甘肃省行政区域内开展政府采购代理业务的，应当在甘肃政府采购网提交《省外代理机构异地开展业务承诺书》，申请开通政府采购管理交易系统相关操作权限。代理机构按照本办法规定登记进入名录库后。</w:t>
      </w:r>
    </w:p>
    <w:p w14:paraId="1F79A67C">
      <w:pPr>
        <w:spacing w:line="576" w:lineRule="exact"/>
        <w:ind w:firstLine="640" w:firstLineChars="200"/>
        <w:rPr>
          <w:rFonts w:ascii="仿宋_GB2312" w:eastAsia="仿宋_GB2312"/>
          <w:sz w:val="32"/>
          <w:szCs w:val="32"/>
        </w:rPr>
      </w:pPr>
      <w:r>
        <w:rPr>
          <w:rFonts w:hint="eastAsia" w:ascii="仿宋_GB2312" w:eastAsia="仿宋_GB2312"/>
          <w:sz w:val="32"/>
          <w:szCs w:val="32"/>
        </w:rPr>
        <w:t>第八条 省</w:t>
      </w:r>
      <w:r>
        <w:rPr>
          <w:rFonts w:ascii="仿宋_GB2312" w:eastAsia="仿宋_GB2312"/>
          <w:sz w:val="32"/>
          <w:szCs w:val="32"/>
        </w:rPr>
        <w:t>财政厅</w:t>
      </w:r>
      <w:r>
        <w:rPr>
          <w:rFonts w:hint="eastAsia" w:ascii="仿宋_GB2312" w:eastAsia="仿宋_GB2312"/>
          <w:sz w:val="32"/>
          <w:szCs w:val="32"/>
        </w:rPr>
        <w:t>在</w:t>
      </w:r>
      <w:r>
        <w:rPr>
          <w:rFonts w:ascii="仿宋_GB2312" w:eastAsia="仿宋_GB2312"/>
          <w:sz w:val="32"/>
          <w:szCs w:val="32"/>
        </w:rPr>
        <w:t>10</w:t>
      </w:r>
      <w:r>
        <w:rPr>
          <w:rFonts w:hint="eastAsia" w:ascii="仿宋_GB2312" w:eastAsia="仿宋_GB2312"/>
          <w:sz w:val="32"/>
          <w:szCs w:val="32"/>
        </w:rPr>
        <w:t>个工作日内对申请进入名录的社会代理机构的填报信息进行初步审核。</w:t>
      </w:r>
    </w:p>
    <w:p w14:paraId="18F4B060">
      <w:pPr>
        <w:spacing w:line="576" w:lineRule="exact"/>
        <w:ind w:firstLine="640" w:firstLineChars="200"/>
        <w:rPr>
          <w:rFonts w:ascii="仿宋_GB2312" w:eastAsia="仿宋_GB2312"/>
          <w:sz w:val="32"/>
          <w:szCs w:val="32"/>
        </w:rPr>
      </w:pPr>
      <w:r>
        <w:rPr>
          <w:rFonts w:hint="eastAsia" w:ascii="仿宋_GB2312" w:eastAsia="仿宋_GB2312"/>
          <w:sz w:val="32"/>
          <w:szCs w:val="32"/>
        </w:rPr>
        <w:t>填报信息完整清晰且满足从业条件的及时提交复审，通过复审后在中国</w:t>
      </w:r>
      <w:r>
        <w:rPr>
          <w:rFonts w:ascii="仿宋_GB2312" w:eastAsia="仿宋_GB2312"/>
          <w:sz w:val="32"/>
          <w:szCs w:val="32"/>
        </w:rPr>
        <w:t>政府采购网</w:t>
      </w:r>
      <w:r>
        <w:rPr>
          <w:rFonts w:hint="eastAsia" w:ascii="仿宋_GB2312" w:eastAsia="仿宋_GB2312"/>
          <w:sz w:val="32"/>
          <w:szCs w:val="32"/>
        </w:rPr>
        <w:t>公布，并及时为其开通相关权限开展</w:t>
      </w:r>
      <w:r>
        <w:rPr>
          <w:rFonts w:ascii="仿宋_GB2312" w:eastAsia="仿宋_GB2312"/>
          <w:sz w:val="32"/>
          <w:szCs w:val="32"/>
        </w:rPr>
        <w:t>代理业务</w:t>
      </w:r>
      <w:r>
        <w:rPr>
          <w:rFonts w:hint="eastAsia" w:ascii="仿宋_GB2312" w:eastAsia="仿宋_GB2312"/>
          <w:sz w:val="32"/>
          <w:szCs w:val="32"/>
        </w:rPr>
        <w:t>。代理机构填报信息不完整或</w:t>
      </w:r>
      <w:r>
        <w:rPr>
          <w:rFonts w:ascii="仿宋_GB2312" w:eastAsia="仿宋_GB2312"/>
          <w:sz w:val="32"/>
          <w:szCs w:val="32"/>
        </w:rPr>
        <w:t>不满足从业条件</w:t>
      </w:r>
      <w:r>
        <w:rPr>
          <w:rFonts w:hint="eastAsia" w:ascii="仿宋_GB2312" w:eastAsia="仿宋_GB2312"/>
          <w:sz w:val="32"/>
          <w:szCs w:val="32"/>
        </w:rPr>
        <w:t>的，财政部门应当要求代理机构及时补充或更正，审核时间从补充或更正信息提交后重新计算。</w:t>
      </w:r>
    </w:p>
    <w:p w14:paraId="7E1F17BB">
      <w:pPr>
        <w:spacing w:line="576" w:lineRule="exact"/>
        <w:ind w:firstLine="640" w:firstLineChars="200"/>
        <w:rPr>
          <w:rFonts w:ascii="仿宋_GB2312" w:eastAsia="仿宋_GB2312"/>
          <w:sz w:val="32"/>
          <w:szCs w:val="32"/>
        </w:rPr>
      </w:pPr>
      <w:r>
        <w:rPr>
          <w:rFonts w:hint="eastAsia" w:ascii="仿宋_GB2312" w:eastAsia="仿宋_GB2312"/>
          <w:sz w:val="32"/>
          <w:szCs w:val="32"/>
        </w:rPr>
        <w:t>第九条 代理机构填报信息发生变更的，应当自信息变更之日起10个工作日内在中国政府采购网修改填报</w:t>
      </w:r>
      <w:r>
        <w:rPr>
          <w:rFonts w:ascii="仿宋_GB2312" w:eastAsia="仿宋_GB2312"/>
          <w:sz w:val="32"/>
          <w:szCs w:val="32"/>
        </w:rPr>
        <w:t>信息</w:t>
      </w:r>
      <w:r>
        <w:rPr>
          <w:rFonts w:hint="eastAsia" w:ascii="仿宋_GB2312" w:eastAsia="仿宋_GB2312"/>
          <w:sz w:val="32"/>
          <w:szCs w:val="32"/>
        </w:rPr>
        <w:t>。因人员变动导致从业人员不足5人，暂停新增业务，直至合格。</w:t>
      </w:r>
    </w:p>
    <w:p w14:paraId="09DE5E5E">
      <w:pPr>
        <w:spacing w:line="576" w:lineRule="exact"/>
        <w:ind w:firstLine="640" w:firstLineChars="200"/>
        <w:rPr>
          <w:rFonts w:ascii="仿宋_GB2312" w:eastAsia="仿宋_GB2312"/>
          <w:sz w:val="32"/>
          <w:szCs w:val="32"/>
        </w:rPr>
      </w:pPr>
      <w:r>
        <w:rPr>
          <w:rFonts w:hint="eastAsia" w:ascii="仿宋_GB2312" w:eastAsia="仿宋_GB2312"/>
          <w:sz w:val="32"/>
          <w:szCs w:val="32"/>
        </w:rPr>
        <w:t>第十条 已登记进入名录库的代理机构停业、拟注销名录登记的,应当在20个工作日内向相关采购人移交档案,并向省财政厅提交《甘肃省政府采购代理机构注销名录登记申请表》(详见附件1),省财政厅应及时注销其名录登记信息。</w:t>
      </w:r>
    </w:p>
    <w:p w14:paraId="32D6F253">
      <w:pPr>
        <w:spacing w:line="576" w:lineRule="exact"/>
        <w:rPr>
          <w:rFonts w:ascii="仿宋_GB2312" w:eastAsia="仿宋_GB2312"/>
          <w:sz w:val="32"/>
          <w:szCs w:val="32"/>
        </w:rPr>
      </w:pPr>
      <w:r>
        <w:rPr>
          <w:rFonts w:hint="eastAsia" w:ascii="仿宋_GB2312" w:eastAsia="仿宋_GB2312"/>
          <w:sz w:val="32"/>
          <w:szCs w:val="32"/>
        </w:rPr>
        <w:t>对已注销的代理机构，省财政厅经公告后注销其名录登记信息,收回系统操作权限。</w:t>
      </w:r>
    </w:p>
    <w:p w14:paraId="7B1B1A23">
      <w:pPr>
        <w:spacing w:line="576" w:lineRule="exact"/>
        <w:ind w:firstLine="2720" w:firstLineChars="850"/>
        <w:rPr>
          <w:rFonts w:ascii="黑体" w:hAnsi="黑体" w:eastAsia="黑体"/>
          <w:sz w:val="32"/>
          <w:szCs w:val="32"/>
        </w:rPr>
      </w:pPr>
      <w:r>
        <w:rPr>
          <w:rFonts w:hint="eastAsia" w:ascii="黑体" w:hAnsi="黑体" w:eastAsia="黑体"/>
          <w:sz w:val="32"/>
          <w:szCs w:val="32"/>
        </w:rPr>
        <w:t>第三章 代理机构从业管理</w:t>
      </w:r>
    </w:p>
    <w:p w14:paraId="59C6B590">
      <w:pPr>
        <w:spacing w:line="576" w:lineRule="exact"/>
        <w:ind w:firstLine="640" w:firstLineChars="200"/>
        <w:rPr>
          <w:rFonts w:ascii="仿宋_GB2312" w:eastAsia="仿宋_GB2312"/>
          <w:sz w:val="32"/>
          <w:szCs w:val="32"/>
        </w:rPr>
      </w:pPr>
      <w:r>
        <w:rPr>
          <w:rFonts w:hint="eastAsia" w:ascii="仿宋_GB2312" w:eastAsia="仿宋_GB2312"/>
          <w:sz w:val="32"/>
          <w:szCs w:val="32"/>
        </w:rPr>
        <w:t>第十一条 代理机构受采购人委托办理采购事宜，应当签订委托代理协议，约定双方权利义务，明确采购代理范围、权限、期限、档案保存、代理费用收取方式及标准、协议解除及终止、违约责任、项目专职从业人员等具体事项。</w:t>
      </w:r>
    </w:p>
    <w:p w14:paraId="4ED8797A">
      <w:pPr>
        <w:spacing w:line="576" w:lineRule="exact"/>
        <w:ind w:firstLine="640" w:firstLineChars="200"/>
        <w:rPr>
          <w:rFonts w:ascii="仿宋_GB2312" w:eastAsia="仿宋_GB2312"/>
          <w:sz w:val="32"/>
          <w:szCs w:val="32"/>
        </w:rPr>
      </w:pPr>
      <w:r>
        <w:rPr>
          <w:rFonts w:hint="eastAsia" w:ascii="仿宋_GB2312" w:eastAsia="仿宋_GB2312"/>
          <w:sz w:val="32"/>
          <w:szCs w:val="32"/>
        </w:rPr>
        <w:t>代理机构应严格按照委托代理协议的约定依法依规开展政府采购代理业务。</w:t>
      </w:r>
    </w:p>
    <w:p w14:paraId="61B91EA7">
      <w:pPr>
        <w:spacing w:line="576" w:lineRule="exact"/>
        <w:ind w:firstLine="640" w:firstLineChars="200"/>
        <w:rPr>
          <w:rFonts w:ascii="仿宋_GB2312" w:eastAsia="仿宋_GB2312"/>
          <w:sz w:val="32"/>
          <w:szCs w:val="32"/>
        </w:rPr>
      </w:pPr>
      <w:bookmarkStart w:id="1" w:name="OLE_LINK9"/>
      <w:bookmarkStart w:id="2" w:name="OLE_LINK8"/>
      <w:bookmarkStart w:id="3" w:name="OLE_LINK7"/>
      <w:r>
        <w:rPr>
          <w:rFonts w:hint="eastAsia" w:ascii="仿宋_GB2312" w:eastAsia="仿宋_GB2312"/>
          <w:sz w:val="32"/>
          <w:szCs w:val="32"/>
        </w:rPr>
        <w:t>第十二条</w:t>
      </w:r>
      <w:r>
        <w:rPr>
          <w:rFonts w:ascii="仿宋_GB2312" w:eastAsia="仿宋_GB2312"/>
          <w:sz w:val="32"/>
          <w:szCs w:val="32"/>
        </w:rPr>
        <w:t xml:space="preserve"> </w:t>
      </w:r>
      <w:r>
        <w:rPr>
          <w:rFonts w:hint="eastAsia" w:ascii="仿宋_GB2312" w:eastAsia="仿宋_GB2312"/>
          <w:sz w:val="32"/>
          <w:szCs w:val="32"/>
        </w:rPr>
        <w:t>代理服务费应结合行业规定、项目特点、市场行情等因素合理协商确定，降低供应商交易成本，优化政府采购营商环境。代理服务费可由中标（成交）供应商支付，也可由采购人支付。由中标（成交）供应商支付的，供应商报价应当包含代理费用。</w:t>
      </w:r>
    </w:p>
    <w:p w14:paraId="15D9C4A3">
      <w:pPr>
        <w:spacing w:line="576" w:lineRule="exact"/>
        <w:ind w:firstLine="640" w:firstLineChars="200"/>
        <w:rPr>
          <w:rFonts w:ascii="仿宋_GB2312" w:eastAsia="仿宋_GB2312"/>
          <w:sz w:val="32"/>
          <w:szCs w:val="32"/>
        </w:rPr>
      </w:pPr>
      <w:r>
        <w:rPr>
          <w:rFonts w:hint="eastAsia" w:ascii="仿宋_GB2312" w:eastAsia="仿宋_GB2312"/>
          <w:sz w:val="32"/>
          <w:szCs w:val="32"/>
        </w:rPr>
        <w:t>代理机构应当在采购文件中明确代理费用收取方式及标准，随中标、成交结果一并在甘肃政府采购网公开收费情况。</w:t>
      </w:r>
      <w:bookmarkEnd w:id="1"/>
      <w:bookmarkEnd w:id="2"/>
      <w:bookmarkEnd w:id="3"/>
    </w:p>
    <w:p w14:paraId="5E595E21">
      <w:pPr>
        <w:spacing w:line="576" w:lineRule="exact"/>
        <w:ind w:firstLine="640" w:firstLineChars="200"/>
        <w:rPr>
          <w:rFonts w:ascii="仿宋_GB2312" w:eastAsia="仿宋_GB2312"/>
          <w:sz w:val="32"/>
          <w:szCs w:val="32"/>
        </w:rPr>
      </w:pPr>
      <w:r>
        <w:rPr>
          <w:rFonts w:hint="eastAsia" w:ascii="仿宋_GB2312" w:eastAsia="仿宋_GB2312"/>
          <w:sz w:val="32"/>
          <w:szCs w:val="32"/>
        </w:rPr>
        <w:t>第十三条</w:t>
      </w:r>
      <w:r>
        <w:rPr>
          <w:rFonts w:ascii="仿宋_GB2312" w:eastAsia="仿宋_GB2312"/>
          <w:sz w:val="32"/>
          <w:szCs w:val="32"/>
        </w:rPr>
        <w:t xml:space="preserve"> </w:t>
      </w:r>
      <w:r>
        <w:rPr>
          <w:rFonts w:hint="eastAsia" w:ascii="仿宋_GB2312" w:eastAsia="仿宋_GB2312"/>
          <w:sz w:val="32"/>
          <w:szCs w:val="32"/>
        </w:rPr>
        <w:t>代理机构受采购人委托，依法开展政府采购代理活动。</w:t>
      </w:r>
    </w:p>
    <w:p w14:paraId="257D0BAE">
      <w:pPr>
        <w:spacing w:line="576" w:lineRule="exact"/>
        <w:ind w:firstLine="640" w:firstLineChars="200"/>
        <w:rPr>
          <w:rFonts w:ascii="仿宋_GB2312" w:eastAsia="仿宋_GB2312"/>
          <w:sz w:val="32"/>
          <w:szCs w:val="32"/>
        </w:rPr>
      </w:pPr>
      <w:r>
        <w:rPr>
          <w:rFonts w:hint="eastAsia" w:ascii="仿宋_GB2312" w:eastAsia="仿宋_GB2312"/>
          <w:sz w:val="32"/>
          <w:szCs w:val="32"/>
        </w:rPr>
        <w:t>开展采购</w:t>
      </w:r>
      <w:bookmarkStart w:id="4" w:name="OLE_LINK40"/>
      <w:r>
        <w:rPr>
          <w:rFonts w:hint="eastAsia" w:ascii="仿宋_GB2312" w:eastAsia="仿宋_GB2312"/>
          <w:sz w:val="32"/>
          <w:szCs w:val="32"/>
        </w:rPr>
        <w:t>需求论证</w:t>
      </w:r>
      <w:bookmarkEnd w:id="4"/>
      <w:r>
        <w:rPr>
          <w:rFonts w:hint="eastAsia" w:ascii="仿宋_GB2312" w:eastAsia="仿宋_GB2312"/>
          <w:sz w:val="32"/>
          <w:szCs w:val="32"/>
        </w:rPr>
        <w:t>时</w:t>
      </w:r>
      <w:r>
        <w:rPr>
          <w:rFonts w:ascii="仿宋_GB2312" w:eastAsia="仿宋_GB2312"/>
          <w:sz w:val="32"/>
          <w:szCs w:val="32"/>
        </w:rPr>
        <w:t>，</w:t>
      </w:r>
      <w:r>
        <w:rPr>
          <w:rFonts w:hint="eastAsia" w:ascii="仿宋_GB2312" w:eastAsia="仿宋_GB2312"/>
          <w:sz w:val="32"/>
          <w:szCs w:val="32"/>
        </w:rPr>
        <w:t>应当对采购项目的背景情况、应用场景、预期成果以及项目所需同类产品或服务的市场价格、性能、供应商情况等充分开展调研分析，组织相关领域的专家对采购需求的合理性、可行性和必要性进行评估。</w:t>
      </w:r>
    </w:p>
    <w:p w14:paraId="221DD423">
      <w:pPr>
        <w:spacing w:line="576" w:lineRule="exact"/>
        <w:ind w:firstLine="640" w:firstLineChars="200"/>
        <w:rPr>
          <w:rFonts w:ascii="仿宋_GB2312" w:eastAsia="仿宋_GB2312"/>
          <w:sz w:val="32"/>
          <w:szCs w:val="32"/>
        </w:rPr>
      </w:pPr>
      <w:bookmarkStart w:id="5" w:name="OLE_LINK13"/>
      <w:bookmarkStart w:id="6" w:name="OLE_LINK14"/>
      <w:r>
        <w:rPr>
          <w:rFonts w:hint="eastAsia" w:ascii="仿宋_GB2312" w:eastAsia="仿宋_GB2312"/>
          <w:sz w:val="32"/>
          <w:szCs w:val="32"/>
        </w:rPr>
        <w:t>编制采购实施计划,应当根据法律法规、政府采购政策和国家有关规定，结合采购需求的特点确定。包括但不限于采购项目预(概)算、最高限价，开展采购活动的时间安排，采购组织形式和委托代理安排，采购包划分与合同分包，供应商资格条件，采购方式、竞争范围和评审规则、同类型、定价方式、合同文本的主要条款、履约验收方案、风险管控措施等。</w:t>
      </w:r>
    </w:p>
    <w:bookmarkEnd w:id="5"/>
    <w:bookmarkEnd w:id="6"/>
    <w:p w14:paraId="4935D712">
      <w:pPr>
        <w:spacing w:line="576" w:lineRule="exact"/>
        <w:ind w:firstLine="640" w:firstLineChars="200"/>
        <w:rPr>
          <w:rFonts w:ascii="仿宋_GB2312" w:eastAsia="仿宋_GB2312"/>
          <w:sz w:val="32"/>
          <w:szCs w:val="32"/>
        </w:rPr>
      </w:pPr>
      <w:r>
        <w:rPr>
          <w:rFonts w:hint="eastAsia" w:ascii="仿宋_GB2312" w:eastAsia="仿宋_GB2312"/>
          <w:sz w:val="32"/>
          <w:szCs w:val="32"/>
        </w:rPr>
        <w:t>采购文件编制应当符合国家法律法规规定，执行相关标准规范，严格落实政府采购政策，并对采购文件编制的合法性、合规性以及政府采购政策落实情况进行自查。</w:t>
      </w:r>
    </w:p>
    <w:p w14:paraId="4B9DDB50">
      <w:pPr>
        <w:spacing w:line="576" w:lineRule="exact"/>
        <w:rPr>
          <w:rFonts w:ascii="仿宋_GB2312" w:eastAsia="仿宋_GB2312"/>
          <w:sz w:val="32"/>
          <w:szCs w:val="32"/>
        </w:rPr>
      </w:pPr>
      <w:r>
        <w:rPr>
          <w:rFonts w:ascii="仿宋_GB2312" w:eastAsia="仿宋_GB2312"/>
          <w:sz w:val="32"/>
          <w:szCs w:val="32"/>
        </w:rPr>
        <w:t xml:space="preserve">   </w:t>
      </w:r>
      <w:bookmarkStart w:id="7" w:name="OLE_LINK10"/>
      <w:bookmarkStart w:id="8" w:name="OLE_LINK11"/>
      <w:r>
        <w:rPr>
          <w:rFonts w:hint="eastAsia" w:ascii="仿宋_GB2312" w:eastAsia="仿宋_GB2312"/>
          <w:sz w:val="32"/>
          <w:szCs w:val="32"/>
        </w:rPr>
        <w:t>采购合同应当严格依据采购</w:t>
      </w:r>
      <w:r>
        <w:rPr>
          <w:rFonts w:ascii="仿宋_GB2312" w:eastAsia="仿宋_GB2312"/>
          <w:sz w:val="32"/>
          <w:szCs w:val="32"/>
        </w:rPr>
        <w:t>文件、中标（</w:t>
      </w:r>
      <w:r>
        <w:rPr>
          <w:rFonts w:hint="eastAsia" w:ascii="仿宋_GB2312" w:eastAsia="仿宋_GB2312"/>
          <w:sz w:val="32"/>
          <w:szCs w:val="32"/>
        </w:rPr>
        <w:t>成交</w:t>
      </w:r>
      <w:r>
        <w:rPr>
          <w:rFonts w:ascii="仿宋_GB2312" w:eastAsia="仿宋_GB2312"/>
          <w:sz w:val="32"/>
          <w:szCs w:val="32"/>
        </w:rPr>
        <w:t>）</w:t>
      </w:r>
      <w:r>
        <w:rPr>
          <w:rFonts w:hint="eastAsia" w:ascii="仿宋_GB2312" w:eastAsia="仿宋_GB2312"/>
          <w:sz w:val="32"/>
          <w:szCs w:val="32"/>
        </w:rPr>
        <w:t>供应商投标</w:t>
      </w:r>
      <w:r>
        <w:rPr>
          <w:rFonts w:ascii="仿宋_GB2312" w:eastAsia="仿宋_GB2312"/>
          <w:sz w:val="32"/>
          <w:szCs w:val="32"/>
        </w:rPr>
        <w:t>（</w:t>
      </w:r>
      <w:r>
        <w:rPr>
          <w:rFonts w:hint="eastAsia" w:ascii="仿宋_GB2312" w:eastAsia="仿宋_GB2312"/>
          <w:sz w:val="32"/>
          <w:szCs w:val="32"/>
        </w:rPr>
        <w:t>响应</w:t>
      </w:r>
      <w:r>
        <w:rPr>
          <w:rFonts w:ascii="仿宋_GB2312" w:eastAsia="仿宋_GB2312"/>
          <w:sz w:val="32"/>
          <w:szCs w:val="32"/>
        </w:rPr>
        <w:t>）</w:t>
      </w:r>
      <w:r>
        <w:rPr>
          <w:rFonts w:hint="eastAsia" w:ascii="仿宋_GB2312" w:eastAsia="仿宋_GB2312"/>
          <w:sz w:val="32"/>
          <w:szCs w:val="32"/>
        </w:rPr>
        <w:t>文件</w:t>
      </w:r>
      <w:r>
        <w:rPr>
          <w:rFonts w:ascii="仿宋_GB2312" w:eastAsia="仿宋_GB2312"/>
          <w:sz w:val="32"/>
          <w:szCs w:val="32"/>
        </w:rPr>
        <w:t>签订</w:t>
      </w:r>
      <w:bookmarkEnd w:id="7"/>
      <w:bookmarkEnd w:id="8"/>
      <w:r>
        <w:rPr>
          <w:rFonts w:hint="eastAsia" w:ascii="仿宋_GB2312" w:eastAsia="仿宋_GB2312"/>
          <w:sz w:val="32"/>
          <w:szCs w:val="32"/>
        </w:rPr>
        <w:t>，完整反映采购人</w:t>
      </w:r>
      <w:r>
        <w:rPr>
          <w:rFonts w:ascii="仿宋_GB2312" w:eastAsia="仿宋_GB2312"/>
          <w:sz w:val="32"/>
          <w:szCs w:val="32"/>
        </w:rPr>
        <w:t>的</w:t>
      </w:r>
      <w:r>
        <w:rPr>
          <w:rFonts w:hint="eastAsia" w:ascii="仿宋_GB2312" w:eastAsia="仿宋_GB2312"/>
          <w:sz w:val="32"/>
          <w:szCs w:val="32"/>
        </w:rPr>
        <w:t>采购需求。采购合同的具体条款应当包括项目的验收要求、与履约验收挂钩的资金支付条件及时间、争议处理规定、采购人及供应商各自权利义务等内容。采购需求、项目验收标准和程序应当作为采购合同的附件。</w:t>
      </w:r>
    </w:p>
    <w:p w14:paraId="01F35A24">
      <w:pPr>
        <w:spacing w:line="576" w:lineRule="exact"/>
        <w:ind w:firstLine="640" w:firstLineChars="200"/>
        <w:rPr>
          <w:rFonts w:ascii="仿宋_GB2312" w:eastAsia="仿宋_GB2312"/>
          <w:sz w:val="32"/>
          <w:szCs w:val="32"/>
        </w:rPr>
      </w:pPr>
      <w:r>
        <w:rPr>
          <w:rFonts w:hint="eastAsia" w:ascii="仿宋_GB2312" w:eastAsia="仿宋_GB2312"/>
          <w:sz w:val="32"/>
          <w:szCs w:val="32"/>
        </w:rPr>
        <w:t>协助采购人组织验收</w:t>
      </w:r>
      <w:r>
        <w:rPr>
          <w:rFonts w:ascii="仿宋_GB2312" w:eastAsia="仿宋_GB2312"/>
          <w:sz w:val="32"/>
          <w:szCs w:val="32"/>
        </w:rPr>
        <w:t>应当</w:t>
      </w:r>
      <w:r>
        <w:rPr>
          <w:rFonts w:hint="eastAsia" w:ascii="仿宋_GB2312" w:eastAsia="仿宋_GB2312"/>
          <w:sz w:val="32"/>
          <w:szCs w:val="32"/>
        </w:rPr>
        <w:t>根据政府采购合同的约定，组织验收小组对供应商的履约情况进行验收，</w:t>
      </w:r>
      <w:bookmarkStart w:id="9" w:name="OLE_LINK12"/>
      <w:r>
        <w:rPr>
          <w:rFonts w:hint="eastAsia" w:ascii="仿宋_GB2312" w:eastAsia="仿宋_GB2312"/>
          <w:sz w:val="32"/>
          <w:szCs w:val="32"/>
        </w:rPr>
        <w:t>及时处理履约异常</w:t>
      </w:r>
      <w:bookmarkEnd w:id="9"/>
      <w:r>
        <w:rPr>
          <w:rFonts w:hint="eastAsia" w:ascii="仿宋_GB2312" w:eastAsia="仿宋_GB2312"/>
          <w:sz w:val="32"/>
          <w:szCs w:val="32"/>
        </w:rPr>
        <w:t>情况</w:t>
      </w:r>
      <w:r>
        <w:rPr>
          <w:rFonts w:ascii="仿宋_GB2312" w:eastAsia="仿宋_GB2312"/>
          <w:sz w:val="32"/>
          <w:szCs w:val="32"/>
        </w:rPr>
        <w:t>，对</w:t>
      </w:r>
      <w:r>
        <w:rPr>
          <w:rFonts w:hint="eastAsia" w:ascii="仿宋_GB2312" w:eastAsia="仿宋_GB2312"/>
          <w:sz w:val="32"/>
          <w:szCs w:val="32"/>
        </w:rPr>
        <w:t>验收过程进行监督</w:t>
      </w:r>
      <w:r>
        <w:rPr>
          <w:rFonts w:ascii="仿宋_GB2312" w:eastAsia="仿宋_GB2312"/>
          <w:sz w:val="32"/>
          <w:szCs w:val="32"/>
        </w:rPr>
        <w:t>，</w:t>
      </w:r>
      <w:r>
        <w:rPr>
          <w:rFonts w:hint="eastAsia" w:ascii="仿宋_GB2312" w:eastAsia="仿宋_GB2312"/>
          <w:sz w:val="32"/>
          <w:szCs w:val="32"/>
        </w:rPr>
        <w:t>发现问题时及时向财政部门报告。对于大型或复杂的采购项目，必要时邀请国家认可的质量检测机构参与验收。</w:t>
      </w:r>
    </w:p>
    <w:p w14:paraId="6FD5D4E4">
      <w:pPr>
        <w:spacing w:line="576" w:lineRule="exact"/>
        <w:ind w:firstLine="640" w:firstLineChars="200"/>
        <w:rPr>
          <w:rFonts w:ascii="仿宋_GB2312" w:eastAsia="仿宋_GB2312"/>
          <w:sz w:val="32"/>
          <w:szCs w:val="32"/>
        </w:rPr>
      </w:pPr>
      <w:r>
        <w:rPr>
          <w:rFonts w:ascii="仿宋_GB2312" w:eastAsia="仿宋_GB2312"/>
          <w:sz w:val="32"/>
          <w:szCs w:val="32"/>
        </w:rPr>
        <w:t>应当在</w:t>
      </w:r>
      <w:r>
        <w:rPr>
          <w:rFonts w:hint="eastAsia" w:ascii="仿宋_GB2312" w:eastAsia="仿宋_GB2312"/>
          <w:sz w:val="32"/>
          <w:szCs w:val="32"/>
        </w:rPr>
        <w:t>委托代理协议</w:t>
      </w:r>
      <w:r>
        <w:rPr>
          <w:rFonts w:ascii="仿宋_GB2312" w:eastAsia="仿宋_GB2312"/>
          <w:sz w:val="32"/>
          <w:szCs w:val="32"/>
        </w:rPr>
        <w:t>中</w:t>
      </w:r>
      <w:r>
        <w:rPr>
          <w:rFonts w:hint="eastAsia" w:ascii="仿宋_GB2312" w:eastAsia="仿宋_GB2312"/>
          <w:sz w:val="32"/>
          <w:szCs w:val="32"/>
        </w:rPr>
        <w:t>明确采购代理机构</w:t>
      </w:r>
      <w:r>
        <w:rPr>
          <w:rFonts w:ascii="仿宋_GB2312" w:eastAsia="仿宋_GB2312"/>
          <w:sz w:val="32"/>
          <w:szCs w:val="32"/>
        </w:rPr>
        <w:t>答复</w:t>
      </w:r>
      <w:r>
        <w:rPr>
          <w:rFonts w:hint="eastAsia" w:ascii="仿宋_GB2312" w:eastAsia="仿宋_GB2312"/>
          <w:sz w:val="32"/>
          <w:szCs w:val="32"/>
        </w:rPr>
        <w:t>供应商质疑的范围、权限。采购代理机构应按《政府采购质疑和投诉办法》（财政部令第94号）第十五条的规定</w:t>
      </w:r>
      <w:r>
        <w:rPr>
          <w:rFonts w:ascii="仿宋_GB2312" w:eastAsia="仿宋_GB2312"/>
          <w:sz w:val="32"/>
          <w:szCs w:val="32"/>
        </w:rPr>
        <w:t>，</w:t>
      </w:r>
      <w:r>
        <w:rPr>
          <w:rFonts w:hint="eastAsia" w:ascii="仿宋_GB2312" w:eastAsia="仿宋_GB2312"/>
          <w:sz w:val="32"/>
          <w:szCs w:val="32"/>
        </w:rPr>
        <w:t>对</w:t>
      </w:r>
      <w:r>
        <w:rPr>
          <w:rFonts w:ascii="仿宋_GB2312" w:eastAsia="仿宋_GB2312"/>
          <w:sz w:val="32"/>
          <w:szCs w:val="32"/>
        </w:rPr>
        <w:t>供应商的</w:t>
      </w:r>
      <w:r>
        <w:rPr>
          <w:rFonts w:hint="eastAsia" w:ascii="仿宋_GB2312" w:eastAsia="仿宋_GB2312"/>
          <w:sz w:val="32"/>
          <w:szCs w:val="32"/>
        </w:rPr>
        <w:t>质疑事项逐一进行认真</w:t>
      </w:r>
      <w:r>
        <w:rPr>
          <w:rFonts w:ascii="仿宋_GB2312" w:eastAsia="仿宋_GB2312"/>
          <w:sz w:val="32"/>
          <w:szCs w:val="32"/>
        </w:rPr>
        <w:t>、详细</w:t>
      </w:r>
      <w:r>
        <w:rPr>
          <w:rFonts w:hint="eastAsia" w:ascii="仿宋_GB2312" w:eastAsia="仿宋_GB2312"/>
          <w:sz w:val="32"/>
          <w:szCs w:val="32"/>
        </w:rPr>
        <w:t>答复，答复</w:t>
      </w:r>
      <w:r>
        <w:rPr>
          <w:rFonts w:ascii="仿宋_GB2312" w:eastAsia="仿宋_GB2312"/>
          <w:sz w:val="32"/>
          <w:szCs w:val="32"/>
        </w:rPr>
        <w:t>时应向供应商</w:t>
      </w:r>
      <w:r>
        <w:rPr>
          <w:rFonts w:hint="eastAsia" w:ascii="仿宋_GB2312" w:eastAsia="仿宋_GB2312"/>
          <w:sz w:val="32"/>
          <w:szCs w:val="32"/>
        </w:rPr>
        <w:t>提供</w:t>
      </w:r>
      <w:r>
        <w:rPr>
          <w:rFonts w:ascii="仿宋_GB2312" w:eastAsia="仿宋_GB2312"/>
          <w:sz w:val="32"/>
          <w:szCs w:val="32"/>
        </w:rPr>
        <w:t>充分</w:t>
      </w:r>
      <w:r>
        <w:rPr>
          <w:rFonts w:hint="eastAsia" w:ascii="仿宋_GB2312" w:eastAsia="仿宋_GB2312"/>
          <w:sz w:val="32"/>
          <w:szCs w:val="32"/>
        </w:rPr>
        <w:t>、</w:t>
      </w:r>
      <w:r>
        <w:rPr>
          <w:rFonts w:ascii="仿宋_GB2312" w:eastAsia="仿宋_GB2312"/>
          <w:sz w:val="32"/>
          <w:szCs w:val="32"/>
        </w:rPr>
        <w:t>具体的依据，</w:t>
      </w:r>
      <w:r>
        <w:rPr>
          <w:rFonts w:hint="eastAsia" w:ascii="仿宋_GB2312" w:eastAsia="仿宋_GB2312"/>
          <w:sz w:val="32"/>
          <w:szCs w:val="32"/>
        </w:rPr>
        <w:t>不</w:t>
      </w:r>
      <w:r>
        <w:rPr>
          <w:rFonts w:ascii="仿宋_GB2312" w:eastAsia="仿宋_GB2312"/>
          <w:sz w:val="32"/>
          <w:szCs w:val="32"/>
        </w:rPr>
        <w:t>得</w:t>
      </w:r>
      <w:r>
        <w:rPr>
          <w:rFonts w:hint="eastAsia" w:ascii="仿宋_GB2312" w:eastAsia="仿宋_GB2312"/>
          <w:sz w:val="32"/>
          <w:szCs w:val="32"/>
        </w:rPr>
        <w:t>敷衍了事</w:t>
      </w:r>
      <w:r>
        <w:rPr>
          <w:rFonts w:ascii="仿宋_GB2312" w:eastAsia="仿宋_GB2312"/>
          <w:sz w:val="32"/>
          <w:szCs w:val="32"/>
        </w:rPr>
        <w:t>，</w:t>
      </w:r>
      <w:r>
        <w:rPr>
          <w:rFonts w:hint="eastAsia" w:ascii="仿宋_GB2312" w:eastAsia="仿宋_GB2312"/>
          <w:sz w:val="32"/>
          <w:szCs w:val="32"/>
        </w:rPr>
        <w:t>涉及</w:t>
      </w:r>
      <w:r>
        <w:rPr>
          <w:rFonts w:ascii="仿宋_GB2312" w:eastAsia="仿宋_GB2312"/>
          <w:sz w:val="32"/>
          <w:szCs w:val="32"/>
        </w:rPr>
        <w:t>评标委员会的事项，</w:t>
      </w:r>
      <w:r>
        <w:rPr>
          <w:rFonts w:hint="eastAsia" w:ascii="仿宋_GB2312" w:eastAsia="仿宋_GB2312"/>
          <w:sz w:val="32"/>
          <w:szCs w:val="32"/>
        </w:rPr>
        <w:t>组织评标委员会协助答复质疑</w:t>
      </w:r>
      <w:r>
        <w:rPr>
          <w:rFonts w:ascii="仿宋_GB2312" w:eastAsia="仿宋_GB2312"/>
          <w:sz w:val="32"/>
          <w:szCs w:val="32"/>
        </w:rPr>
        <w:t>。</w:t>
      </w:r>
    </w:p>
    <w:p w14:paraId="5322985B">
      <w:pPr>
        <w:spacing w:line="576" w:lineRule="exact"/>
        <w:ind w:firstLine="640" w:firstLineChars="200"/>
        <w:rPr>
          <w:rFonts w:ascii="仿宋_GB2312" w:eastAsia="仿宋_GB2312"/>
          <w:sz w:val="32"/>
          <w:szCs w:val="32"/>
        </w:rPr>
      </w:pPr>
      <w:r>
        <w:rPr>
          <w:rFonts w:hint="eastAsia" w:ascii="仿宋_GB2312" w:eastAsia="仿宋_GB2312"/>
          <w:sz w:val="32"/>
          <w:szCs w:val="32"/>
        </w:rPr>
        <w:t>配合财政部门处理投诉及</w:t>
      </w:r>
      <w:r>
        <w:rPr>
          <w:rFonts w:ascii="仿宋_GB2312" w:eastAsia="仿宋_GB2312"/>
          <w:sz w:val="32"/>
          <w:szCs w:val="32"/>
        </w:rPr>
        <w:t>依法实施的监督检查</w:t>
      </w:r>
      <w:r>
        <w:rPr>
          <w:rFonts w:hint="eastAsia" w:ascii="仿宋_GB2312" w:eastAsia="仿宋_GB2312"/>
          <w:sz w:val="32"/>
          <w:szCs w:val="32"/>
        </w:rPr>
        <w:t>。财政部门依法进行调查取证时，采购代理机构应当如实反映情况，并提供财政部门需要的相关材料。</w:t>
      </w:r>
    </w:p>
    <w:p w14:paraId="1A8C2DBF">
      <w:pPr>
        <w:spacing w:line="576" w:lineRule="exact"/>
        <w:ind w:firstLine="640" w:firstLineChars="200"/>
        <w:rPr>
          <w:rFonts w:ascii="仿宋_GB2312" w:eastAsia="仿宋_GB2312"/>
          <w:sz w:val="32"/>
          <w:szCs w:val="32"/>
        </w:rPr>
      </w:pPr>
      <w:r>
        <w:rPr>
          <w:rFonts w:hint="eastAsia" w:ascii="仿宋_GB2312" w:eastAsia="仿宋_GB2312"/>
          <w:sz w:val="32"/>
          <w:szCs w:val="32"/>
        </w:rPr>
        <w:t>开展档案管理工作时</w:t>
      </w:r>
      <w:r>
        <w:rPr>
          <w:rFonts w:ascii="仿宋_GB2312" w:eastAsia="仿宋_GB2312"/>
          <w:sz w:val="32"/>
          <w:szCs w:val="32"/>
        </w:rPr>
        <w:t>，应当</w:t>
      </w:r>
      <w:r>
        <w:rPr>
          <w:rFonts w:hint="eastAsia" w:ascii="仿宋_GB2312" w:eastAsia="仿宋_GB2312"/>
          <w:sz w:val="32"/>
          <w:szCs w:val="32"/>
        </w:rPr>
        <w:t>遵循</w:t>
      </w:r>
      <w:r>
        <w:rPr>
          <w:rFonts w:ascii="仿宋_GB2312" w:eastAsia="仿宋_GB2312"/>
          <w:sz w:val="32"/>
          <w:szCs w:val="32"/>
        </w:rPr>
        <w:t>法律</w:t>
      </w:r>
      <w:r>
        <w:rPr>
          <w:rFonts w:hint="eastAsia" w:ascii="仿宋_GB2312" w:eastAsia="仿宋_GB2312"/>
          <w:sz w:val="32"/>
          <w:szCs w:val="32"/>
        </w:rPr>
        <w:t>法规等</w:t>
      </w:r>
      <w:r>
        <w:rPr>
          <w:rFonts w:ascii="仿宋_GB2312" w:eastAsia="仿宋_GB2312"/>
          <w:sz w:val="32"/>
          <w:szCs w:val="32"/>
        </w:rPr>
        <w:t>规定</w:t>
      </w:r>
      <w:r>
        <w:rPr>
          <w:rFonts w:hint="eastAsia" w:ascii="仿宋_GB2312" w:eastAsia="仿宋_GB2312"/>
          <w:sz w:val="32"/>
          <w:szCs w:val="32"/>
        </w:rPr>
        <w:t>，符合规范完整、内容齐全、签名和印章真实有效等要求</w:t>
      </w:r>
      <w:r>
        <w:rPr>
          <w:rFonts w:ascii="仿宋_GB2312" w:eastAsia="仿宋_GB2312"/>
          <w:sz w:val="32"/>
          <w:szCs w:val="32"/>
        </w:rPr>
        <w:t>，</w:t>
      </w:r>
      <w:r>
        <w:rPr>
          <w:rFonts w:hint="eastAsia" w:ascii="仿宋_GB2312" w:eastAsia="仿宋_GB2312"/>
          <w:sz w:val="32"/>
          <w:szCs w:val="32"/>
        </w:rPr>
        <w:t>保存期限不得低于15年，重大项目应长期保存。</w:t>
      </w:r>
      <w:r>
        <w:rPr>
          <w:rFonts w:ascii="仿宋_GB2312" w:eastAsia="仿宋_GB2312"/>
          <w:sz w:val="32"/>
          <w:szCs w:val="32"/>
        </w:rPr>
        <w:t>做到</w:t>
      </w:r>
      <w:r>
        <w:rPr>
          <w:rFonts w:hint="eastAsia" w:ascii="仿宋_GB2312" w:eastAsia="仿宋_GB2312"/>
          <w:sz w:val="32"/>
          <w:szCs w:val="32"/>
        </w:rPr>
        <w:t>由专人负责管理</w:t>
      </w:r>
      <w:r>
        <w:rPr>
          <w:rFonts w:ascii="仿宋_GB2312" w:eastAsia="仿宋_GB2312"/>
          <w:sz w:val="32"/>
          <w:szCs w:val="32"/>
        </w:rPr>
        <w:t>，</w:t>
      </w:r>
      <w:r>
        <w:rPr>
          <w:rFonts w:hint="eastAsia" w:ascii="仿宋_GB2312" w:eastAsia="仿宋_GB2312"/>
          <w:sz w:val="32"/>
          <w:szCs w:val="32"/>
        </w:rPr>
        <w:t>在安全场所存放</w:t>
      </w:r>
      <w:r>
        <w:rPr>
          <w:rFonts w:ascii="仿宋_GB2312" w:eastAsia="仿宋_GB2312"/>
          <w:sz w:val="32"/>
          <w:szCs w:val="32"/>
        </w:rPr>
        <w:t>。必要时</w:t>
      </w:r>
      <w:r>
        <w:rPr>
          <w:rFonts w:hint="eastAsia" w:ascii="仿宋_GB2312" w:eastAsia="仿宋_GB2312"/>
          <w:sz w:val="32"/>
          <w:szCs w:val="32"/>
        </w:rPr>
        <w:t>定期对档案进行清点和检查，确保档案的完整性和有效性。</w:t>
      </w:r>
    </w:p>
    <w:p w14:paraId="79A4FEC6">
      <w:pPr>
        <w:spacing w:line="576" w:lineRule="exact"/>
        <w:ind w:firstLine="640" w:firstLineChars="200"/>
        <w:rPr>
          <w:rFonts w:ascii="仿宋_GB2312" w:eastAsia="仿宋_GB2312"/>
          <w:sz w:val="32"/>
          <w:szCs w:val="32"/>
        </w:rPr>
      </w:pPr>
      <w:r>
        <w:rPr>
          <w:rFonts w:hint="eastAsia" w:ascii="仿宋_GB2312" w:eastAsia="仿宋_GB2312"/>
          <w:sz w:val="32"/>
          <w:szCs w:val="32"/>
        </w:rPr>
        <w:t>第十四条 代理机构应当对在从事政府采购代理业务、质疑答复和配合财政部门处理投诉及依法实施的监督检查过程中知悉的国家秘密、商业秘密、个人隐私和依法不予公开的信息进行保密。</w:t>
      </w:r>
    </w:p>
    <w:p w14:paraId="49CEEAB7">
      <w:pPr>
        <w:spacing w:line="576" w:lineRule="exact"/>
        <w:ind w:firstLine="640" w:firstLineChars="200"/>
        <w:rPr>
          <w:rFonts w:ascii="仿宋_GB2312" w:eastAsia="仿宋_GB2312"/>
          <w:sz w:val="32"/>
          <w:szCs w:val="32"/>
        </w:rPr>
      </w:pPr>
      <w:r>
        <w:rPr>
          <w:rFonts w:hint="eastAsia" w:ascii="仿宋_GB2312" w:eastAsia="仿宋_GB2312"/>
          <w:sz w:val="32"/>
          <w:szCs w:val="32"/>
        </w:rPr>
        <w:t>代理机构与供应商之间不应存在为谋求特定供应商中标、成交或者排斥其他供应商的串通行为。</w:t>
      </w:r>
    </w:p>
    <w:p w14:paraId="220F40D4">
      <w:pPr>
        <w:spacing w:line="576" w:lineRule="exact"/>
        <w:ind w:firstLine="640" w:firstLineChars="200"/>
        <w:rPr>
          <w:rFonts w:ascii="仿宋_GB2312" w:eastAsia="仿宋_GB2312"/>
          <w:sz w:val="32"/>
          <w:szCs w:val="32"/>
        </w:rPr>
      </w:pPr>
      <w:r>
        <w:rPr>
          <w:rFonts w:hint="eastAsia" w:ascii="仿宋_GB2312" w:eastAsia="仿宋_GB2312"/>
          <w:sz w:val="32"/>
          <w:szCs w:val="32"/>
        </w:rPr>
        <w:t>第十五条 代理机构发布政府采购项目信息,应当健全内部审核机制,落实信息审核责任,严格执行政府采购信息发布的法律法规和政策规定,不得泄露国家秘密、商业秘密及个人隐私,不得有虚假和误导性陈述,不得遗漏依法必须公开的事项。</w:t>
      </w:r>
    </w:p>
    <w:p w14:paraId="3E36D065">
      <w:pPr>
        <w:spacing w:line="576" w:lineRule="exact"/>
        <w:ind w:firstLine="640" w:firstLineChars="200"/>
        <w:rPr>
          <w:rFonts w:ascii="仿宋_GB2312" w:eastAsia="仿宋_GB2312"/>
          <w:sz w:val="32"/>
          <w:szCs w:val="32"/>
        </w:rPr>
      </w:pPr>
      <w:r>
        <w:rPr>
          <w:rFonts w:hint="eastAsia" w:ascii="仿宋_GB2312" w:eastAsia="仿宋_GB2312"/>
          <w:sz w:val="32"/>
          <w:szCs w:val="32"/>
        </w:rPr>
        <w:t>第十六条 代理机构应当加强对专职从业人员政府采购法律法规政策、业务能力、职业道德等方面的教育培训，组织专职从业人员参加财政部门的培训，同时积极开展内部教育培训。</w:t>
      </w:r>
    </w:p>
    <w:p w14:paraId="57E58230">
      <w:pPr>
        <w:spacing w:line="576" w:lineRule="exact"/>
        <w:ind w:firstLine="640" w:firstLineChars="200"/>
        <w:rPr>
          <w:rFonts w:ascii="仿宋_GB2312" w:eastAsia="仿宋_GB2312"/>
          <w:sz w:val="32"/>
          <w:szCs w:val="32"/>
        </w:rPr>
      </w:pPr>
      <w:r>
        <w:rPr>
          <w:rFonts w:hint="eastAsia" w:ascii="仿宋_GB2312" w:eastAsia="仿宋_GB2312"/>
          <w:sz w:val="32"/>
          <w:szCs w:val="32"/>
        </w:rPr>
        <w:t>第十七条 代理机构每年组织至少5名专职从业人员参加省级财政部门集中培训，且</w:t>
      </w:r>
      <w:r>
        <w:rPr>
          <w:rFonts w:ascii="仿宋_GB2312" w:eastAsia="仿宋_GB2312"/>
          <w:sz w:val="32"/>
          <w:szCs w:val="32"/>
        </w:rPr>
        <w:t>在</w:t>
      </w:r>
      <w:r>
        <w:rPr>
          <w:rFonts w:hint="eastAsia" w:ascii="仿宋_GB2312" w:eastAsia="仿宋_GB2312"/>
          <w:sz w:val="32"/>
          <w:szCs w:val="32"/>
        </w:rPr>
        <w:t>2年内组织全体专职</w:t>
      </w:r>
      <w:r>
        <w:rPr>
          <w:rFonts w:ascii="仿宋_GB2312" w:eastAsia="仿宋_GB2312"/>
          <w:sz w:val="32"/>
          <w:szCs w:val="32"/>
        </w:rPr>
        <w:t>从业人员</w:t>
      </w:r>
      <w:r>
        <w:rPr>
          <w:rFonts w:hint="eastAsia" w:ascii="仿宋_GB2312" w:eastAsia="仿宋_GB2312"/>
          <w:sz w:val="32"/>
          <w:szCs w:val="32"/>
        </w:rPr>
        <w:t>开展</w:t>
      </w:r>
      <w:r>
        <w:rPr>
          <w:rFonts w:ascii="仿宋_GB2312" w:eastAsia="仿宋_GB2312"/>
          <w:sz w:val="32"/>
          <w:szCs w:val="32"/>
        </w:rPr>
        <w:t>轮训。</w:t>
      </w:r>
      <w:r>
        <w:rPr>
          <w:rFonts w:hint="eastAsia" w:ascii="仿宋_GB2312" w:eastAsia="仿宋_GB2312"/>
          <w:sz w:val="32"/>
          <w:szCs w:val="32"/>
        </w:rPr>
        <w:t>代理机构专职从业人员参加集中专业培训，经考核合格的，取得培训合格证明。培训合格证明应如实记录培训人员信息、完成培训的内容和学时及考核结果。</w:t>
      </w:r>
    </w:p>
    <w:p w14:paraId="1AC060ED">
      <w:pPr>
        <w:spacing w:line="576" w:lineRule="exact"/>
        <w:ind w:firstLine="640" w:firstLineChars="200"/>
        <w:rPr>
          <w:rFonts w:ascii="仿宋_GB2312" w:hAnsi="黑体" w:eastAsia="仿宋_GB2312"/>
          <w:sz w:val="32"/>
          <w:szCs w:val="32"/>
        </w:rPr>
      </w:pPr>
      <w:r>
        <w:rPr>
          <w:rFonts w:hint="eastAsia" w:ascii="仿宋_GB2312" w:eastAsia="仿宋_GB2312"/>
          <w:sz w:val="32"/>
          <w:szCs w:val="32"/>
        </w:rPr>
        <w:t xml:space="preserve">第十八条 </w:t>
      </w:r>
      <w:r>
        <w:rPr>
          <w:rFonts w:ascii="仿宋_GB2312" w:hAnsi="黑体" w:eastAsia="仿宋_GB2312"/>
          <w:sz w:val="32"/>
          <w:szCs w:val="32"/>
        </w:rPr>
        <w:t>代理机构应向专业化服务转型，找准专业化发展方向并深入研究，确定重点代理领域，走差异化发展道路。</w:t>
      </w:r>
      <w:r>
        <w:rPr>
          <w:rFonts w:hint="eastAsia" w:ascii="仿宋_GB2312" w:hAnsi="黑体" w:eastAsia="仿宋_GB2312"/>
          <w:sz w:val="32"/>
          <w:szCs w:val="32"/>
        </w:rPr>
        <w:t>鼓励代理机构利用大数据和人工智能技术，增强政府采购全过程服务能力，积极开展采购需求标准、行业市场调查、采购文件编制、采购合同范本、履约验收等政府采购事前事中事后业务，提供专业化政府采购代理服务。</w:t>
      </w:r>
    </w:p>
    <w:p w14:paraId="615336BE">
      <w:pPr>
        <w:spacing w:line="576" w:lineRule="exact"/>
        <w:ind w:firstLine="1920" w:firstLineChars="600"/>
        <w:rPr>
          <w:rFonts w:ascii="黑体" w:hAnsi="黑体" w:eastAsia="黑体"/>
          <w:sz w:val="32"/>
          <w:szCs w:val="32"/>
        </w:rPr>
      </w:pPr>
      <w:r>
        <w:rPr>
          <w:rFonts w:hint="eastAsia" w:ascii="黑体" w:hAnsi="黑体" w:eastAsia="黑体"/>
          <w:sz w:val="32"/>
          <w:szCs w:val="32"/>
        </w:rPr>
        <w:t>第四章 综合评价及监督管理</w:t>
      </w:r>
    </w:p>
    <w:p w14:paraId="5067FE46">
      <w:pPr>
        <w:spacing w:line="576" w:lineRule="exact"/>
        <w:ind w:firstLine="640" w:firstLineChars="200"/>
        <w:rPr>
          <w:rFonts w:ascii="仿宋_GB2312" w:eastAsia="仿宋_GB2312"/>
          <w:sz w:val="32"/>
          <w:szCs w:val="32"/>
        </w:rPr>
      </w:pPr>
      <w:r>
        <w:rPr>
          <w:rFonts w:hint="eastAsia" w:ascii="仿宋_GB2312" w:eastAsia="仿宋_GB2312"/>
          <w:sz w:val="32"/>
          <w:szCs w:val="32"/>
        </w:rPr>
        <w:t>第</w:t>
      </w:r>
      <w:r>
        <w:rPr>
          <w:rFonts w:ascii="仿宋_GB2312" w:eastAsia="仿宋_GB2312"/>
          <w:sz w:val="32"/>
          <w:szCs w:val="32"/>
        </w:rPr>
        <w:t>十</w:t>
      </w:r>
      <w:r>
        <w:rPr>
          <w:rFonts w:hint="eastAsia" w:ascii="仿宋_GB2312" w:eastAsia="仿宋_GB2312"/>
          <w:sz w:val="32"/>
          <w:szCs w:val="32"/>
        </w:rPr>
        <w:t>九条 财政部门依托甘肃省政府采购管理交易系统，按照</w:t>
      </w:r>
      <w:bookmarkStart w:id="10" w:name="OLE_LINK3"/>
      <w:r>
        <w:rPr>
          <w:rFonts w:ascii="仿宋_GB2312" w:eastAsia="仿宋_GB2312"/>
          <w:sz w:val="32"/>
          <w:szCs w:val="32"/>
        </w:rPr>
        <w:t>《</w:t>
      </w:r>
      <w:r>
        <w:rPr>
          <w:rFonts w:hint="eastAsia" w:ascii="仿宋_GB2312" w:eastAsia="仿宋_GB2312"/>
          <w:sz w:val="32"/>
          <w:szCs w:val="32"/>
        </w:rPr>
        <w:t>甘肃省政府采购代理机构综合评价规则</w:t>
      </w:r>
      <w:r>
        <w:rPr>
          <w:rFonts w:ascii="仿宋_GB2312" w:eastAsia="仿宋_GB2312"/>
          <w:sz w:val="32"/>
          <w:szCs w:val="32"/>
        </w:rPr>
        <w:t>》</w:t>
      </w:r>
      <w:bookmarkEnd w:id="10"/>
      <w:r>
        <w:rPr>
          <w:rFonts w:hint="eastAsia" w:ascii="仿宋_GB2312" w:eastAsia="仿宋_GB2312"/>
          <w:sz w:val="32"/>
          <w:szCs w:val="32"/>
        </w:rPr>
        <w:t>（详见</w:t>
      </w:r>
      <w:r>
        <w:rPr>
          <w:rFonts w:ascii="仿宋_GB2312" w:eastAsia="仿宋_GB2312"/>
          <w:sz w:val="32"/>
          <w:szCs w:val="32"/>
        </w:rPr>
        <w:t>附</w:t>
      </w:r>
      <w:r>
        <w:rPr>
          <w:rFonts w:hint="eastAsia" w:ascii="仿宋_GB2312" w:eastAsia="仿宋_GB2312"/>
          <w:sz w:val="32"/>
          <w:szCs w:val="32"/>
        </w:rPr>
        <w:t>件2），对代理机构的诚信履职情况</w:t>
      </w:r>
      <w:r>
        <w:rPr>
          <w:rFonts w:ascii="仿宋_GB2312" w:eastAsia="仿宋_GB2312"/>
          <w:sz w:val="32"/>
          <w:szCs w:val="32"/>
        </w:rPr>
        <w:t>进行评价</w:t>
      </w:r>
      <w:r>
        <w:rPr>
          <w:rFonts w:hint="eastAsia" w:ascii="仿宋_GB2312" w:eastAsia="仿宋_GB2312"/>
          <w:sz w:val="32"/>
          <w:szCs w:val="32"/>
        </w:rPr>
        <w:t>，评价内容主要包括代理机构的诚信评价、业绩评价、专业知识评价、企业基本情况等相关情况。</w:t>
      </w:r>
    </w:p>
    <w:p w14:paraId="4092A8CF">
      <w:pPr>
        <w:spacing w:line="576" w:lineRule="exact"/>
        <w:ind w:firstLine="640" w:firstLineChars="200"/>
        <w:rPr>
          <w:rFonts w:ascii="仿宋_GB2312" w:eastAsia="仿宋_GB2312"/>
          <w:sz w:val="32"/>
          <w:szCs w:val="32"/>
        </w:rPr>
      </w:pPr>
      <w:r>
        <w:rPr>
          <w:rFonts w:hint="eastAsia" w:ascii="仿宋_GB2312" w:eastAsia="仿宋_GB2312"/>
          <w:sz w:val="32"/>
          <w:szCs w:val="32"/>
        </w:rPr>
        <w:t>为保持政府采购代理机构综合评价体系的科学性和有效性，省级财政部门依工作实际适时对</w:t>
      </w:r>
      <w:bookmarkStart w:id="11" w:name="OLE_LINK1"/>
      <w:r>
        <w:rPr>
          <w:rFonts w:hint="eastAsia" w:ascii="仿宋_GB2312" w:eastAsia="仿宋_GB2312"/>
          <w:sz w:val="32"/>
          <w:szCs w:val="32"/>
        </w:rPr>
        <w:t>《甘肃省政府采购代理机构综合评价规则》</w:t>
      </w:r>
      <w:bookmarkEnd w:id="11"/>
      <w:r>
        <w:rPr>
          <w:rFonts w:hint="eastAsia" w:ascii="仿宋_GB2312" w:eastAsia="仿宋_GB2312"/>
          <w:sz w:val="32"/>
          <w:szCs w:val="32"/>
        </w:rPr>
        <w:t>进行评估和调整。</w:t>
      </w:r>
    </w:p>
    <w:p w14:paraId="5562DDD2">
      <w:pPr>
        <w:spacing w:line="576" w:lineRule="exact"/>
        <w:ind w:firstLine="640" w:firstLineChars="200"/>
        <w:rPr>
          <w:rFonts w:ascii="仿宋_GB2312" w:eastAsia="仿宋_GB2312"/>
          <w:sz w:val="32"/>
          <w:szCs w:val="32"/>
        </w:rPr>
      </w:pPr>
      <w:r>
        <w:rPr>
          <w:rFonts w:hint="eastAsia" w:ascii="仿宋_GB2312" w:eastAsia="仿宋_GB2312"/>
          <w:sz w:val="32"/>
          <w:szCs w:val="32"/>
        </w:rPr>
        <w:t>第二十</w:t>
      </w:r>
      <w:r>
        <w:rPr>
          <w:rFonts w:ascii="仿宋_GB2312" w:eastAsia="仿宋_GB2312"/>
          <w:sz w:val="32"/>
          <w:szCs w:val="32"/>
        </w:rPr>
        <w:t>条</w:t>
      </w:r>
      <w:r>
        <w:rPr>
          <w:rFonts w:hint="eastAsia" w:ascii="仿宋_GB2312" w:eastAsia="仿宋_GB2312"/>
          <w:sz w:val="32"/>
          <w:szCs w:val="32"/>
        </w:rPr>
        <w:t xml:space="preserve"> 评价结果作为财政部门对</w:t>
      </w:r>
      <w:r>
        <w:rPr>
          <w:rFonts w:ascii="仿宋_GB2312" w:eastAsia="仿宋_GB2312"/>
          <w:sz w:val="32"/>
          <w:szCs w:val="32"/>
        </w:rPr>
        <w:t>代理机构</w:t>
      </w:r>
      <w:r>
        <w:rPr>
          <w:rFonts w:hint="eastAsia" w:ascii="仿宋_GB2312" w:eastAsia="仿宋_GB2312"/>
          <w:sz w:val="32"/>
          <w:szCs w:val="32"/>
        </w:rPr>
        <w:t>进行监督检查的重要依据,对评价结果较差的代理机构予以重点监管。</w:t>
      </w:r>
    </w:p>
    <w:p w14:paraId="4CE4AC36">
      <w:pPr>
        <w:spacing w:line="576" w:lineRule="exact"/>
        <w:ind w:firstLine="640" w:firstLineChars="200"/>
        <w:rPr>
          <w:rFonts w:ascii="仿宋_GB2312" w:eastAsia="仿宋_GB2312"/>
          <w:sz w:val="32"/>
          <w:szCs w:val="32"/>
        </w:rPr>
      </w:pPr>
      <w:r>
        <w:rPr>
          <w:rFonts w:hint="eastAsia" w:ascii="仿宋_GB2312" w:eastAsia="仿宋_GB2312"/>
          <w:sz w:val="32"/>
          <w:szCs w:val="32"/>
        </w:rPr>
        <w:t>第二十一条 省级财政部门统筹负责本省的代理机构监督检查，并</w:t>
      </w:r>
      <w:r>
        <w:rPr>
          <w:rFonts w:ascii="仿宋_GB2312" w:eastAsia="仿宋_GB2312"/>
          <w:sz w:val="32"/>
          <w:szCs w:val="32"/>
        </w:rPr>
        <w:t>负责</w:t>
      </w:r>
      <w:r>
        <w:rPr>
          <w:rFonts w:hint="eastAsia" w:ascii="仿宋_GB2312" w:eastAsia="仿宋_GB2312"/>
          <w:sz w:val="32"/>
          <w:szCs w:val="32"/>
        </w:rPr>
        <w:t>对代理省级政府采购项目的代理机构实施检查。</w:t>
      </w:r>
    </w:p>
    <w:p w14:paraId="7BAF752C">
      <w:pPr>
        <w:spacing w:line="576" w:lineRule="exact"/>
        <w:ind w:firstLine="640" w:firstLineChars="200"/>
        <w:rPr>
          <w:rFonts w:ascii="仿宋_GB2312" w:eastAsia="仿宋_GB2312"/>
          <w:sz w:val="32"/>
          <w:szCs w:val="32"/>
        </w:rPr>
      </w:pPr>
      <w:bookmarkStart w:id="12" w:name="OLE_LINK2"/>
      <w:bookmarkStart w:id="13" w:name="OLE_LINK6"/>
      <w:r>
        <w:rPr>
          <w:rFonts w:hint="eastAsia" w:ascii="仿宋_GB2312" w:eastAsia="仿宋_GB2312"/>
          <w:sz w:val="32"/>
          <w:szCs w:val="32"/>
        </w:rPr>
        <w:t>市</w:t>
      </w:r>
      <w:r>
        <w:rPr>
          <w:rFonts w:ascii="仿宋_GB2312" w:eastAsia="仿宋_GB2312"/>
          <w:sz w:val="32"/>
          <w:szCs w:val="32"/>
        </w:rPr>
        <w:t>（</w:t>
      </w:r>
      <w:r>
        <w:rPr>
          <w:rFonts w:hint="eastAsia" w:ascii="仿宋_GB2312" w:eastAsia="仿宋_GB2312"/>
          <w:sz w:val="32"/>
          <w:szCs w:val="32"/>
        </w:rPr>
        <w:t>州</w:t>
      </w:r>
      <w:r>
        <w:rPr>
          <w:rFonts w:ascii="仿宋_GB2312" w:eastAsia="仿宋_GB2312"/>
          <w:sz w:val="32"/>
          <w:szCs w:val="32"/>
        </w:rPr>
        <w:t>）</w:t>
      </w:r>
      <w:r>
        <w:rPr>
          <w:rFonts w:hint="eastAsia" w:ascii="仿宋_GB2312" w:eastAsia="仿宋_GB2312"/>
          <w:sz w:val="32"/>
          <w:szCs w:val="32"/>
        </w:rPr>
        <w:t>、县（区）</w:t>
      </w:r>
      <w:bookmarkEnd w:id="12"/>
      <w:bookmarkEnd w:id="13"/>
      <w:r>
        <w:rPr>
          <w:rFonts w:hint="eastAsia" w:ascii="仿宋_GB2312" w:eastAsia="仿宋_GB2312"/>
          <w:sz w:val="32"/>
          <w:szCs w:val="32"/>
        </w:rPr>
        <w:t>财政部门负责对代理本级政府采购项目的代理机构实施检查。</w:t>
      </w:r>
    </w:p>
    <w:p w14:paraId="152F05DC">
      <w:pPr>
        <w:spacing w:line="576" w:lineRule="exact"/>
        <w:ind w:firstLine="640" w:firstLineChars="200"/>
        <w:rPr>
          <w:rFonts w:ascii="仿宋_GB2312" w:eastAsia="仿宋_GB2312"/>
          <w:sz w:val="32"/>
          <w:szCs w:val="32"/>
        </w:rPr>
      </w:pPr>
      <w:r>
        <w:rPr>
          <w:rFonts w:hint="eastAsia" w:ascii="仿宋_GB2312" w:eastAsia="仿宋_GB2312"/>
          <w:sz w:val="32"/>
          <w:szCs w:val="32"/>
        </w:rPr>
        <w:t>第二十二条 各级</w:t>
      </w:r>
      <w:r>
        <w:rPr>
          <w:rFonts w:ascii="仿宋_GB2312" w:eastAsia="仿宋_GB2312"/>
          <w:sz w:val="32"/>
          <w:szCs w:val="32"/>
        </w:rPr>
        <w:t>财政部门</w:t>
      </w:r>
      <w:r>
        <w:rPr>
          <w:rFonts w:hint="eastAsia" w:ascii="仿宋_GB2312" w:eastAsia="仿宋_GB2312"/>
          <w:sz w:val="32"/>
          <w:szCs w:val="32"/>
        </w:rPr>
        <w:t>对代理机构采取专项监督检查和采购项目日常监管相结合的方式开展</w:t>
      </w:r>
      <w:r>
        <w:rPr>
          <w:rFonts w:ascii="仿宋_GB2312" w:eastAsia="仿宋_GB2312"/>
          <w:sz w:val="32"/>
          <w:szCs w:val="32"/>
        </w:rPr>
        <w:t>监督检查</w:t>
      </w:r>
      <w:r>
        <w:rPr>
          <w:rFonts w:hint="eastAsia" w:ascii="仿宋_GB2312" w:eastAsia="仿宋_GB2312"/>
          <w:sz w:val="32"/>
          <w:szCs w:val="32"/>
        </w:rPr>
        <w:t>。专项检查由省级财政部门按照</w:t>
      </w:r>
      <w:r>
        <w:rPr>
          <w:rFonts w:ascii="仿宋_GB2312" w:eastAsia="仿宋_GB2312"/>
          <w:sz w:val="32"/>
          <w:szCs w:val="32"/>
        </w:rPr>
        <w:t>财政部要求</w:t>
      </w:r>
      <w:r>
        <w:rPr>
          <w:rFonts w:hint="eastAsia" w:ascii="仿宋_GB2312" w:eastAsia="仿宋_GB2312"/>
          <w:sz w:val="32"/>
          <w:szCs w:val="32"/>
        </w:rPr>
        <w:t>统一组织实施，制定对代理机构监督检查的具体实施方案，开展检查工作。采购项目日常监管，主要包括各级财政部门督促代理机构依法开展采购活动；制止、纠正违法违规行为；受理举报、投诉，有必要时，可进行调查取证；对有违法违规行为的代理机构依法作出处理处罚等决定。</w:t>
      </w:r>
    </w:p>
    <w:p w14:paraId="4800798D">
      <w:pPr>
        <w:spacing w:line="576" w:lineRule="exact"/>
        <w:ind w:firstLine="640" w:firstLineChars="200"/>
        <w:rPr>
          <w:rFonts w:ascii="仿宋_GB2312" w:eastAsia="仿宋_GB2312"/>
          <w:sz w:val="32"/>
          <w:szCs w:val="32"/>
        </w:rPr>
      </w:pPr>
      <w:r>
        <w:rPr>
          <w:rFonts w:hint="eastAsia" w:ascii="仿宋_GB2312" w:eastAsia="仿宋_GB2312"/>
          <w:sz w:val="32"/>
          <w:szCs w:val="32"/>
        </w:rPr>
        <w:t>第二十三条 财政部门对代理机构的监督检查包括以下内容:</w:t>
      </w:r>
    </w:p>
    <w:p w14:paraId="5543EBA4">
      <w:pPr>
        <w:spacing w:line="576" w:lineRule="exact"/>
        <w:ind w:firstLine="640" w:firstLineChars="200"/>
        <w:rPr>
          <w:rFonts w:ascii="仿宋_GB2312" w:eastAsia="仿宋_GB2312"/>
          <w:sz w:val="32"/>
          <w:szCs w:val="32"/>
        </w:rPr>
      </w:pPr>
      <w:r>
        <w:rPr>
          <w:rFonts w:hint="eastAsia" w:ascii="仿宋_GB2312" w:eastAsia="仿宋_GB2312"/>
          <w:sz w:val="32"/>
          <w:szCs w:val="32"/>
        </w:rPr>
        <w:t>（一）代理机构基本信息的真实性、准确性;</w:t>
      </w:r>
    </w:p>
    <w:p w14:paraId="29B3CF1E">
      <w:pPr>
        <w:spacing w:line="576" w:lineRule="exact"/>
        <w:ind w:firstLine="640" w:firstLineChars="200"/>
        <w:rPr>
          <w:rFonts w:ascii="仿宋_GB2312" w:eastAsia="仿宋_GB2312"/>
          <w:sz w:val="32"/>
          <w:szCs w:val="32"/>
        </w:rPr>
      </w:pPr>
      <w:r>
        <w:rPr>
          <w:rFonts w:hint="eastAsia" w:ascii="仿宋_GB2312" w:eastAsia="仿宋_GB2312"/>
          <w:sz w:val="32"/>
          <w:szCs w:val="32"/>
        </w:rPr>
        <w:t>（二）办公场所、</w:t>
      </w:r>
      <w:r>
        <w:rPr>
          <w:rFonts w:ascii="仿宋_GB2312" w:eastAsia="仿宋_GB2312"/>
          <w:sz w:val="32"/>
          <w:szCs w:val="32"/>
        </w:rPr>
        <w:t>评审场所及</w:t>
      </w:r>
      <w:r>
        <w:rPr>
          <w:rFonts w:hint="eastAsia" w:ascii="仿宋_GB2312" w:eastAsia="仿宋_GB2312"/>
          <w:sz w:val="32"/>
          <w:szCs w:val="32"/>
        </w:rPr>
        <w:t>监控</w:t>
      </w:r>
      <w:r>
        <w:rPr>
          <w:rFonts w:ascii="仿宋_GB2312" w:eastAsia="仿宋_GB2312"/>
          <w:sz w:val="32"/>
          <w:szCs w:val="32"/>
        </w:rPr>
        <w:t>设备</w:t>
      </w:r>
      <w:r>
        <w:rPr>
          <w:rFonts w:hint="eastAsia" w:ascii="仿宋_GB2312" w:eastAsia="仿宋_GB2312"/>
          <w:sz w:val="32"/>
          <w:szCs w:val="32"/>
        </w:rPr>
        <w:t>情况；</w:t>
      </w:r>
    </w:p>
    <w:p w14:paraId="721D71E2">
      <w:pPr>
        <w:spacing w:line="576" w:lineRule="exact"/>
        <w:ind w:firstLine="640" w:firstLineChars="200"/>
        <w:rPr>
          <w:rFonts w:ascii="仿宋_GB2312" w:eastAsia="仿宋_GB2312"/>
          <w:sz w:val="32"/>
          <w:szCs w:val="32"/>
        </w:rPr>
      </w:pPr>
      <w:r>
        <w:rPr>
          <w:rFonts w:hint="eastAsia" w:ascii="仿宋_GB2312" w:eastAsia="仿宋_GB2312"/>
          <w:sz w:val="32"/>
          <w:szCs w:val="32"/>
        </w:rPr>
        <w:t>（三）队伍建设情况，包括专职从业人员数量及专业化、参加教育培训情况、遵守职业道德和廉洁自律情况等；</w:t>
      </w:r>
    </w:p>
    <w:p w14:paraId="6EA6EFF2">
      <w:pPr>
        <w:spacing w:line="576" w:lineRule="exact"/>
        <w:ind w:firstLine="640" w:firstLineChars="200"/>
        <w:rPr>
          <w:rFonts w:ascii="仿宋_GB2312" w:eastAsia="仿宋_GB2312"/>
          <w:sz w:val="32"/>
          <w:szCs w:val="32"/>
        </w:rPr>
      </w:pPr>
      <w:r>
        <w:rPr>
          <w:rFonts w:hint="eastAsia" w:ascii="仿宋_GB2312" w:eastAsia="仿宋_GB2312"/>
          <w:sz w:val="32"/>
          <w:szCs w:val="32"/>
        </w:rPr>
        <w:t>（四）政府采购</w:t>
      </w:r>
      <w:r>
        <w:rPr>
          <w:rFonts w:ascii="仿宋_GB2312" w:eastAsia="仿宋_GB2312"/>
          <w:sz w:val="32"/>
          <w:szCs w:val="32"/>
        </w:rPr>
        <w:t>内部监督管理</w:t>
      </w:r>
      <w:r>
        <w:rPr>
          <w:rFonts w:hint="eastAsia" w:ascii="仿宋_GB2312" w:eastAsia="仿宋_GB2312"/>
          <w:sz w:val="32"/>
          <w:szCs w:val="32"/>
        </w:rPr>
        <w:t>制度建设与执行情况；</w:t>
      </w:r>
    </w:p>
    <w:p w14:paraId="15501911">
      <w:pPr>
        <w:spacing w:line="576" w:lineRule="exact"/>
        <w:ind w:firstLine="640" w:firstLineChars="200"/>
        <w:rPr>
          <w:rFonts w:ascii="仿宋_GB2312" w:eastAsia="仿宋_GB2312"/>
          <w:sz w:val="32"/>
          <w:szCs w:val="32"/>
        </w:rPr>
      </w:pPr>
      <w:r>
        <w:rPr>
          <w:rFonts w:hint="eastAsia" w:ascii="仿宋_GB2312" w:eastAsia="仿宋_GB2312"/>
          <w:sz w:val="32"/>
          <w:szCs w:val="32"/>
        </w:rPr>
        <w:t>（五）业务开展情况。包括委托代理协议的签订和执行、采购文件编制、采购方式与</w:t>
      </w:r>
      <w:r>
        <w:rPr>
          <w:rFonts w:ascii="仿宋_GB2312" w:eastAsia="仿宋_GB2312"/>
          <w:sz w:val="32"/>
          <w:szCs w:val="32"/>
        </w:rPr>
        <w:t>程序、</w:t>
      </w:r>
      <w:r>
        <w:rPr>
          <w:rFonts w:hint="eastAsia" w:ascii="仿宋_GB2312" w:eastAsia="仿宋_GB2312"/>
          <w:sz w:val="32"/>
          <w:szCs w:val="32"/>
        </w:rPr>
        <w:t>评审专家抽取、采购现场组织、采购结果确定、中标（成交）</w:t>
      </w:r>
      <w:r>
        <w:rPr>
          <w:rFonts w:ascii="仿宋_GB2312" w:eastAsia="仿宋_GB2312"/>
          <w:sz w:val="32"/>
          <w:szCs w:val="32"/>
        </w:rPr>
        <w:t>通知书</w:t>
      </w:r>
      <w:r>
        <w:rPr>
          <w:rFonts w:hint="eastAsia" w:ascii="仿宋_GB2312" w:eastAsia="仿宋_GB2312"/>
          <w:sz w:val="32"/>
          <w:szCs w:val="32"/>
        </w:rPr>
        <w:t>发出、合同备案、信息公告、质疑答复、档案管理等情况；</w:t>
      </w:r>
    </w:p>
    <w:p w14:paraId="3CDE6849">
      <w:pPr>
        <w:spacing w:line="576" w:lineRule="exact"/>
        <w:ind w:firstLine="640" w:firstLineChars="200"/>
        <w:rPr>
          <w:rFonts w:ascii="仿宋_GB2312" w:eastAsia="仿宋_GB2312"/>
          <w:sz w:val="32"/>
          <w:szCs w:val="32"/>
        </w:rPr>
      </w:pPr>
      <w:r>
        <w:rPr>
          <w:rFonts w:hint="eastAsia" w:ascii="仿宋_GB2312" w:eastAsia="仿宋_GB2312"/>
          <w:sz w:val="32"/>
          <w:szCs w:val="32"/>
        </w:rPr>
        <w:t>（六）其他政府采购从业情况。</w:t>
      </w:r>
    </w:p>
    <w:p w14:paraId="3B537A75">
      <w:pPr>
        <w:spacing w:line="576" w:lineRule="exact"/>
        <w:ind w:firstLine="640" w:firstLineChars="200"/>
        <w:rPr>
          <w:rFonts w:ascii="仿宋_GB2312" w:eastAsia="仿宋_GB2312"/>
          <w:sz w:val="32"/>
          <w:szCs w:val="32"/>
        </w:rPr>
      </w:pPr>
      <w:r>
        <w:rPr>
          <w:rFonts w:hint="eastAsia" w:ascii="仿宋_GB2312" w:eastAsia="仿宋_GB2312"/>
          <w:sz w:val="32"/>
          <w:szCs w:val="32"/>
        </w:rPr>
        <w:t>第二十四条 各县（区）财政部门按照属地管理原则，对注册地在本行政区域内的新进入</w:t>
      </w:r>
      <w:r>
        <w:rPr>
          <w:rFonts w:ascii="仿宋_GB2312" w:eastAsia="仿宋_GB2312"/>
          <w:sz w:val="32"/>
          <w:szCs w:val="32"/>
        </w:rPr>
        <w:t>名录库</w:t>
      </w:r>
      <w:r>
        <w:rPr>
          <w:rFonts w:hint="eastAsia" w:ascii="仿宋_GB2312" w:eastAsia="仿宋_GB2312"/>
          <w:sz w:val="32"/>
          <w:szCs w:val="32"/>
        </w:rPr>
        <w:t>的代理机构，自</w:t>
      </w:r>
      <w:r>
        <w:rPr>
          <w:rFonts w:ascii="仿宋_GB2312" w:eastAsia="仿宋_GB2312"/>
          <w:sz w:val="32"/>
          <w:szCs w:val="32"/>
        </w:rPr>
        <w:t>首次代理政府采购业务起</w:t>
      </w:r>
      <w:r>
        <w:rPr>
          <w:rFonts w:hint="eastAsia" w:ascii="仿宋_GB2312" w:eastAsia="仿宋_GB2312"/>
          <w:sz w:val="32"/>
          <w:szCs w:val="32"/>
        </w:rPr>
        <w:t>，原则上在一年内进行实地考察；自首次代理政府采购项目一年以上的代理机构，原则上每五年全覆盖实地</w:t>
      </w:r>
      <w:r>
        <w:rPr>
          <w:rFonts w:ascii="仿宋_GB2312" w:eastAsia="仿宋_GB2312"/>
          <w:sz w:val="32"/>
          <w:szCs w:val="32"/>
        </w:rPr>
        <w:t>检查</w:t>
      </w:r>
      <w:r>
        <w:rPr>
          <w:rFonts w:hint="eastAsia" w:ascii="仿宋_GB2312" w:eastAsia="仿宋_GB2312"/>
          <w:sz w:val="32"/>
          <w:szCs w:val="32"/>
        </w:rPr>
        <w:t>一次。</w:t>
      </w:r>
    </w:p>
    <w:p w14:paraId="0C8DAE5A">
      <w:pPr>
        <w:spacing w:line="576" w:lineRule="exact"/>
        <w:ind w:firstLine="640" w:firstLineChars="200"/>
        <w:rPr>
          <w:rFonts w:ascii="仿宋_GB2312" w:eastAsia="仿宋_GB2312"/>
          <w:sz w:val="32"/>
          <w:szCs w:val="32"/>
        </w:rPr>
      </w:pPr>
      <w:bookmarkStart w:id="14" w:name="OLE_LINK5"/>
      <w:r>
        <w:rPr>
          <w:rFonts w:hint="eastAsia" w:ascii="仿宋_GB2312" w:eastAsia="仿宋_GB2312"/>
          <w:sz w:val="32"/>
          <w:szCs w:val="32"/>
        </w:rPr>
        <w:t xml:space="preserve">第二十五条 </w:t>
      </w:r>
      <w:bookmarkEnd w:id="14"/>
      <w:r>
        <w:rPr>
          <w:rFonts w:hint="eastAsia" w:ascii="仿宋_GB2312" w:eastAsia="仿宋_GB2312"/>
          <w:sz w:val="32"/>
          <w:szCs w:val="32"/>
        </w:rPr>
        <w:t>财政部门应当将存在下列情形的代理机构列为重点监管对象，不定期开展定向监督检查。</w:t>
      </w:r>
    </w:p>
    <w:p w14:paraId="32666FFD">
      <w:pPr>
        <w:spacing w:line="576" w:lineRule="exact"/>
        <w:ind w:firstLine="640" w:firstLineChars="200"/>
        <w:rPr>
          <w:rFonts w:ascii="仿宋_GB2312" w:eastAsia="仿宋_GB2312"/>
          <w:sz w:val="32"/>
          <w:szCs w:val="32"/>
        </w:rPr>
      </w:pPr>
      <w:r>
        <w:rPr>
          <w:rFonts w:hint="eastAsia" w:ascii="仿宋_GB2312" w:eastAsia="仿宋_GB2312"/>
          <w:sz w:val="32"/>
          <w:szCs w:val="32"/>
        </w:rPr>
        <w:t>（一）已开展政府采购业务，未按照要求进行名录登记的；</w:t>
      </w:r>
    </w:p>
    <w:p w14:paraId="1EE306B8">
      <w:pPr>
        <w:spacing w:line="576" w:lineRule="exact"/>
        <w:ind w:firstLine="640" w:firstLineChars="200"/>
        <w:rPr>
          <w:rFonts w:ascii="仿宋_GB2312" w:eastAsia="仿宋_GB2312"/>
          <w:sz w:val="32"/>
          <w:szCs w:val="32"/>
        </w:rPr>
      </w:pPr>
      <w:r>
        <w:rPr>
          <w:rFonts w:hint="eastAsia" w:ascii="仿宋_GB2312" w:eastAsia="仿宋_GB2312"/>
          <w:sz w:val="32"/>
          <w:szCs w:val="32"/>
        </w:rPr>
        <w:t>（二）检查前一年代理的政府采购项目被投诉举报且查证属实达到三次及以上的；</w:t>
      </w:r>
    </w:p>
    <w:p w14:paraId="0685711A">
      <w:pPr>
        <w:spacing w:line="576" w:lineRule="exact"/>
        <w:ind w:firstLine="640" w:firstLineChars="200"/>
        <w:rPr>
          <w:rFonts w:ascii="仿宋_GB2312" w:eastAsia="仿宋_GB2312"/>
          <w:sz w:val="32"/>
          <w:szCs w:val="32"/>
        </w:rPr>
      </w:pPr>
      <w:r>
        <w:rPr>
          <w:rFonts w:hint="eastAsia" w:ascii="仿宋_GB2312" w:eastAsia="仿宋_GB2312"/>
          <w:sz w:val="32"/>
          <w:szCs w:val="32"/>
        </w:rPr>
        <w:t>（三）检查前三年因政府采购从业行为被</w:t>
      </w:r>
      <w:r>
        <w:rPr>
          <w:rFonts w:ascii="仿宋_GB2312" w:eastAsia="仿宋_GB2312"/>
          <w:sz w:val="32"/>
          <w:szCs w:val="32"/>
        </w:rPr>
        <w:t>责令整改三次及以上或</w:t>
      </w:r>
      <w:r>
        <w:rPr>
          <w:rFonts w:hint="eastAsia" w:ascii="仿宋_GB2312" w:eastAsia="仿宋_GB2312"/>
          <w:sz w:val="32"/>
          <w:szCs w:val="32"/>
        </w:rPr>
        <w:t>受到两次及以上行政处罚的；</w:t>
      </w:r>
    </w:p>
    <w:p w14:paraId="4850A506">
      <w:pPr>
        <w:spacing w:line="576" w:lineRule="exact"/>
        <w:ind w:firstLine="640" w:firstLineChars="200"/>
        <w:rPr>
          <w:rFonts w:ascii="仿宋_GB2312" w:eastAsia="仿宋_GB2312"/>
          <w:sz w:val="32"/>
          <w:szCs w:val="32"/>
        </w:rPr>
      </w:pPr>
      <w:r>
        <w:rPr>
          <w:rFonts w:hint="eastAsia" w:ascii="仿宋_GB2312" w:eastAsia="仿宋_GB2312"/>
          <w:sz w:val="32"/>
          <w:szCs w:val="32"/>
        </w:rPr>
        <w:t>（四）存在重大违法违规线索的。</w:t>
      </w:r>
    </w:p>
    <w:p w14:paraId="58D7A1F5">
      <w:pPr>
        <w:spacing w:line="576" w:lineRule="exact"/>
        <w:ind w:firstLine="640" w:firstLineChars="200"/>
        <w:rPr>
          <w:rFonts w:ascii="仿宋_GB2312" w:eastAsia="仿宋_GB2312"/>
          <w:sz w:val="32"/>
          <w:szCs w:val="32"/>
        </w:rPr>
      </w:pPr>
      <w:r>
        <w:rPr>
          <w:rFonts w:hint="eastAsia" w:ascii="仿宋_GB2312" w:eastAsia="仿宋_GB2312"/>
          <w:sz w:val="32"/>
          <w:szCs w:val="32"/>
        </w:rPr>
        <w:t>第二十六条 财政部门应当在检查前3个工作日向代理机构送达检查通知，可采取抽取项目、自行检查、书面审查、现场检查等方式实施检查。</w:t>
      </w:r>
    </w:p>
    <w:p w14:paraId="636D187B">
      <w:pPr>
        <w:spacing w:line="576" w:lineRule="exact"/>
        <w:ind w:firstLine="640" w:firstLineChars="200"/>
        <w:rPr>
          <w:rFonts w:ascii="仿宋_GB2312" w:eastAsia="仿宋_GB2312"/>
          <w:sz w:val="32"/>
          <w:szCs w:val="32"/>
        </w:rPr>
      </w:pPr>
      <w:r>
        <w:rPr>
          <w:rFonts w:hint="eastAsia" w:ascii="仿宋_GB2312" w:eastAsia="仿宋_GB2312"/>
          <w:sz w:val="32"/>
          <w:szCs w:val="32"/>
        </w:rPr>
        <w:t>代理机构应当积极配合财政部门依法实施的监督检查，如实提供被检查项目相关资料，不得拒绝、拖延、阻挠、逃避检查，不得转移、隐匿、销毁相关证据材料。</w:t>
      </w:r>
    </w:p>
    <w:p w14:paraId="6B5116C6">
      <w:pPr>
        <w:spacing w:line="576" w:lineRule="exact"/>
        <w:ind w:firstLine="640" w:firstLineChars="200"/>
        <w:rPr>
          <w:rFonts w:ascii="仿宋_GB2312" w:eastAsia="仿宋_GB2312"/>
          <w:sz w:val="32"/>
          <w:szCs w:val="32"/>
        </w:rPr>
      </w:pPr>
      <w:r>
        <w:rPr>
          <w:rFonts w:hint="eastAsia" w:ascii="仿宋_GB2312" w:eastAsia="仿宋_GB2312"/>
          <w:sz w:val="32"/>
          <w:szCs w:val="32"/>
        </w:rPr>
        <w:t>第</w:t>
      </w:r>
      <w:r>
        <w:rPr>
          <w:rFonts w:ascii="仿宋_GB2312" w:eastAsia="仿宋_GB2312"/>
          <w:sz w:val="32"/>
          <w:szCs w:val="32"/>
        </w:rPr>
        <w:t>二十</w:t>
      </w:r>
      <w:r>
        <w:rPr>
          <w:rFonts w:hint="eastAsia" w:ascii="仿宋_GB2312" w:eastAsia="仿宋_GB2312"/>
          <w:sz w:val="32"/>
          <w:szCs w:val="32"/>
        </w:rPr>
        <w:t>七</w:t>
      </w:r>
      <w:r>
        <w:rPr>
          <w:rFonts w:ascii="仿宋_GB2312" w:eastAsia="仿宋_GB2312"/>
          <w:sz w:val="32"/>
          <w:szCs w:val="32"/>
        </w:rPr>
        <w:t>条</w:t>
      </w:r>
      <w:r>
        <w:rPr>
          <w:rFonts w:hint="eastAsia" w:ascii="仿宋_GB2312" w:eastAsia="仿宋_GB2312"/>
          <w:sz w:val="32"/>
          <w:szCs w:val="32"/>
        </w:rPr>
        <w:t xml:space="preserve"> 财政部门对代理机构实施监督的结果应通过甘肃政府采购网向社会公开。</w:t>
      </w:r>
    </w:p>
    <w:p w14:paraId="20E39FF2">
      <w:pPr>
        <w:spacing w:line="576" w:lineRule="exact"/>
        <w:ind w:firstLine="640" w:firstLineChars="200"/>
        <w:rPr>
          <w:rFonts w:ascii="仿宋_GB2312" w:eastAsia="仿宋_GB2312"/>
          <w:sz w:val="32"/>
          <w:szCs w:val="32"/>
        </w:rPr>
      </w:pPr>
      <w:r>
        <w:rPr>
          <w:rFonts w:hint="eastAsia" w:ascii="仿宋_GB2312" w:eastAsia="仿宋_GB2312"/>
          <w:sz w:val="32"/>
          <w:szCs w:val="32"/>
        </w:rPr>
        <w:t>第二十八条 财政部门应加强对代理机构履职评价和</w:t>
      </w:r>
      <w:r>
        <w:rPr>
          <w:rFonts w:ascii="仿宋_GB2312" w:eastAsia="仿宋_GB2312"/>
          <w:sz w:val="32"/>
          <w:szCs w:val="32"/>
        </w:rPr>
        <w:t>监督检查</w:t>
      </w:r>
      <w:r>
        <w:rPr>
          <w:rFonts w:hint="eastAsia" w:ascii="仿宋_GB2312" w:eastAsia="仿宋_GB2312"/>
          <w:sz w:val="32"/>
          <w:szCs w:val="32"/>
        </w:rPr>
        <w:t>，将处理处罚结果作为综合评价的参考依据。</w:t>
      </w:r>
    </w:p>
    <w:p w14:paraId="577BBDAF">
      <w:pPr>
        <w:spacing w:line="576" w:lineRule="exact"/>
        <w:jc w:val="center"/>
        <w:rPr>
          <w:rFonts w:ascii="黑体" w:hAnsi="黑体" w:eastAsia="黑体"/>
          <w:sz w:val="32"/>
          <w:szCs w:val="32"/>
        </w:rPr>
      </w:pPr>
      <w:r>
        <w:rPr>
          <w:rFonts w:hint="eastAsia" w:ascii="黑体" w:hAnsi="黑体" w:eastAsia="黑体"/>
          <w:sz w:val="32"/>
          <w:szCs w:val="32"/>
        </w:rPr>
        <w:t xml:space="preserve">第五章 </w:t>
      </w:r>
      <w:r>
        <w:rPr>
          <w:rFonts w:ascii="黑体" w:hAnsi="黑体" w:eastAsia="黑体"/>
          <w:sz w:val="32"/>
          <w:szCs w:val="32"/>
        </w:rPr>
        <w:t xml:space="preserve"> </w:t>
      </w:r>
      <w:r>
        <w:rPr>
          <w:rFonts w:hint="eastAsia" w:ascii="黑体" w:hAnsi="黑体" w:eastAsia="黑体"/>
          <w:sz w:val="32"/>
          <w:szCs w:val="32"/>
        </w:rPr>
        <w:t>评价</w:t>
      </w:r>
      <w:r>
        <w:rPr>
          <w:rFonts w:ascii="黑体" w:hAnsi="黑体" w:eastAsia="黑体"/>
          <w:sz w:val="32"/>
          <w:szCs w:val="32"/>
        </w:rPr>
        <w:t>结果运用</w:t>
      </w:r>
      <w:r>
        <w:rPr>
          <w:rFonts w:hint="eastAsia" w:ascii="黑体" w:hAnsi="黑体" w:eastAsia="黑体"/>
          <w:sz w:val="32"/>
          <w:szCs w:val="32"/>
        </w:rPr>
        <w:t>及处理处罚</w:t>
      </w:r>
    </w:p>
    <w:p w14:paraId="4128DA4F">
      <w:pPr>
        <w:spacing w:line="576" w:lineRule="exact"/>
        <w:ind w:firstLine="640" w:firstLineChars="200"/>
        <w:rPr>
          <w:rFonts w:ascii="仿宋_GB2312" w:eastAsia="仿宋_GB2312"/>
          <w:sz w:val="32"/>
          <w:szCs w:val="32"/>
        </w:rPr>
      </w:pPr>
      <w:r>
        <w:rPr>
          <w:rFonts w:hint="eastAsia" w:ascii="仿宋_GB2312" w:eastAsia="仿宋_GB2312"/>
          <w:sz w:val="32"/>
          <w:szCs w:val="32"/>
        </w:rPr>
        <w:t>第二十九条 各级财政部门根据代理机构监督检查结果、对未履行或未正确履行职责，但尚未造成不良后果和影响的代理机构，可视监督检查、</w:t>
      </w:r>
      <w:r>
        <w:rPr>
          <w:rFonts w:ascii="仿宋_GB2312" w:eastAsia="仿宋_GB2312"/>
          <w:sz w:val="32"/>
          <w:szCs w:val="32"/>
        </w:rPr>
        <w:t>累计</w:t>
      </w:r>
      <w:r>
        <w:rPr>
          <w:rFonts w:hint="eastAsia" w:ascii="仿宋_GB2312" w:eastAsia="仿宋_GB2312"/>
          <w:sz w:val="32"/>
          <w:szCs w:val="32"/>
        </w:rPr>
        <w:t>扣分</w:t>
      </w:r>
      <w:r>
        <w:rPr>
          <w:rFonts w:ascii="仿宋_GB2312" w:eastAsia="仿宋_GB2312"/>
          <w:sz w:val="32"/>
          <w:szCs w:val="32"/>
        </w:rPr>
        <w:t>、年度评价综合得分等</w:t>
      </w:r>
      <w:r>
        <w:rPr>
          <w:rFonts w:hint="eastAsia" w:ascii="仿宋_GB2312" w:eastAsia="仿宋_GB2312"/>
          <w:sz w:val="32"/>
          <w:szCs w:val="32"/>
        </w:rPr>
        <w:t>情况采取预警约谈、发函提醒、</w:t>
      </w:r>
      <w:r>
        <w:rPr>
          <w:rFonts w:ascii="仿宋_GB2312" w:eastAsia="仿宋_GB2312"/>
          <w:sz w:val="32"/>
          <w:szCs w:val="32"/>
        </w:rPr>
        <w:t>督促整改</w:t>
      </w:r>
      <w:r>
        <w:rPr>
          <w:rFonts w:hint="eastAsia" w:ascii="仿宋_GB2312" w:eastAsia="仿宋_GB2312"/>
          <w:sz w:val="32"/>
          <w:szCs w:val="32"/>
        </w:rPr>
        <w:t>等方式，促进代理机构提升服务质量。</w:t>
      </w:r>
    </w:p>
    <w:p w14:paraId="574BEC94">
      <w:pPr>
        <w:spacing w:line="576" w:lineRule="exact"/>
        <w:ind w:firstLine="640" w:firstLineChars="200"/>
        <w:rPr>
          <w:rFonts w:ascii="仿宋_GB2312" w:eastAsia="仿宋_GB2312"/>
          <w:sz w:val="32"/>
          <w:szCs w:val="32"/>
        </w:rPr>
      </w:pPr>
      <w:r>
        <w:rPr>
          <w:rFonts w:hint="eastAsia" w:ascii="仿宋_GB2312" w:eastAsia="仿宋_GB2312"/>
          <w:sz w:val="32"/>
          <w:szCs w:val="32"/>
        </w:rPr>
        <w:t xml:space="preserve">第三十条 </w:t>
      </w:r>
      <w:r>
        <w:rPr>
          <w:rFonts w:hint="eastAsia" w:ascii="仿宋_GB2312" w:hAnsi="黑体" w:eastAsia="仿宋_GB2312"/>
          <w:sz w:val="32"/>
          <w:szCs w:val="32"/>
        </w:rPr>
        <w:t>代理机构被预警约谈、</w:t>
      </w:r>
      <w:r>
        <w:rPr>
          <w:rFonts w:ascii="仿宋_GB2312" w:hAnsi="黑体" w:eastAsia="仿宋_GB2312"/>
          <w:sz w:val="32"/>
          <w:szCs w:val="32"/>
        </w:rPr>
        <w:t>发函</w:t>
      </w:r>
      <w:r>
        <w:rPr>
          <w:rFonts w:hint="eastAsia" w:ascii="仿宋_GB2312" w:hAnsi="黑体" w:eastAsia="仿宋_GB2312"/>
          <w:sz w:val="32"/>
          <w:szCs w:val="32"/>
        </w:rPr>
        <w:t>提醒、督促整改的，应在</w:t>
      </w:r>
      <w:r>
        <w:rPr>
          <w:rFonts w:ascii="仿宋_GB2312" w:hAnsi="黑体" w:eastAsia="仿宋_GB2312"/>
          <w:sz w:val="32"/>
          <w:szCs w:val="32"/>
        </w:rPr>
        <w:t>30</w:t>
      </w:r>
      <w:r>
        <w:rPr>
          <w:rFonts w:hint="eastAsia" w:ascii="仿宋_GB2312" w:hAnsi="黑体" w:eastAsia="仿宋_GB2312"/>
          <w:sz w:val="32"/>
          <w:szCs w:val="32"/>
        </w:rPr>
        <w:t>日内</w:t>
      </w:r>
      <w:r>
        <w:rPr>
          <w:rFonts w:ascii="仿宋_GB2312" w:hAnsi="黑体" w:eastAsia="仿宋_GB2312"/>
          <w:sz w:val="32"/>
          <w:szCs w:val="32"/>
        </w:rPr>
        <w:t>进行</w:t>
      </w:r>
      <w:r>
        <w:rPr>
          <w:rFonts w:hint="eastAsia" w:ascii="仿宋_GB2312" w:hAnsi="黑体" w:eastAsia="仿宋_GB2312"/>
          <w:sz w:val="32"/>
          <w:szCs w:val="32"/>
        </w:rPr>
        <w:t>整改，并报财政部门。整改内容应注重实效，查漏补缺、改进不足，切实提升从业水平，重点围绕完善内部管理制度、规范业务流程、提升专职从业人员业务素质等进行。财政部门视情况对代理机构整改结果进行核查。</w:t>
      </w:r>
    </w:p>
    <w:p w14:paraId="16BFC87A">
      <w:pPr>
        <w:spacing w:line="576" w:lineRule="exact"/>
        <w:ind w:firstLine="640" w:firstLineChars="200"/>
        <w:rPr>
          <w:rFonts w:ascii="仿宋_GB2312" w:eastAsia="仿宋_GB2312"/>
          <w:sz w:val="32"/>
          <w:szCs w:val="32"/>
        </w:rPr>
      </w:pPr>
      <w:r>
        <w:rPr>
          <w:rFonts w:hint="eastAsia" w:ascii="仿宋_GB2312" w:eastAsia="仿宋_GB2312"/>
          <w:sz w:val="32"/>
          <w:szCs w:val="32"/>
        </w:rPr>
        <w:t>第</w:t>
      </w:r>
      <w:r>
        <w:rPr>
          <w:rFonts w:ascii="仿宋_GB2312" w:eastAsia="仿宋_GB2312"/>
          <w:sz w:val="32"/>
          <w:szCs w:val="32"/>
        </w:rPr>
        <w:t>三十</w:t>
      </w:r>
      <w:r>
        <w:rPr>
          <w:rFonts w:hint="eastAsia" w:ascii="仿宋_GB2312" w:eastAsia="仿宋_GB2312"/>
          <w:sz w:val="32"/>
          <w:szCs w:val="32"/>
        </w:rPr>
        <w:t>一条 采购人</w:t>
      </w:r>
      <w:r>
        <w:rPr>
          <w:rFonts w:ascii="仿宋_GB2312" w:eastAsia="仿宋_GB2312"/>
          <w:sz w:val="32"/>
          <w:szCs w:val="32"/>
        </w:rPr>
        <w:t>可</w:t>
      </w:r>
      <w:r>
        <w:rPr>
          <w:rFonts w:hint="eastAsia" w:ascii="仿宋_GB2312" w:eastAsia="仿宋_GB2312"/>
          <w:sz w:val="32"/>
          <w:szCs w:val="32"/>
        </w:rPr>
        <w:t>参考</w:t>
      </w:r>
      <w:r>
        <w:rPr>
          <w:rFonts w:ascii="仿宋_GB2312" w:eastAsia="仿宋_GB2312"/>
          <w:sz w:val="32"/>
          <w:szCs w:val="32"/>
        </w:rPr>
        <w:t>财政部门公布的综合评价</w:t>
      </w:r>
      <w:r>
        <w:rPr>
          <w:rFonts w:hint="eastAsia" w:ascii="仿宋_GB2312" w:eastAsia="仿宋_GB2312"/>
          <w:sz w:val="32"/>
          <w:szCs w:val="32"/>
        </w:rPr>
        <w:t>结果</w:t>
      </w:r>
      <w:r>
        <w:rPr>
          <w:rFonts w:ascii="仿宋_GB2312" w:eastAsia="仿宋_GB2312"/>
          <w:sz w:val="32"/>
          <w:szCs w:val="32"/>
        </w:rPr>
        <w:t>，</w:t>
      </w:r>
      <w:r>
        <w:rPr>
          <w:rFonts w:hint="eastAsia" w:ascii="仿宋_GB2312" w:eastAsia="仿宋_GB2312"/>
          <w:sz w:val="32"/>
          <w:szCs w:val="32"/>
        </w:rPr>
        <w:t>自主择优选择代理机构。</w:t>
      </w:r>
    </w:p>
    <w:p w14:paraId="567ABA93">
      <w:pPr>
        <w:spacing w:line="576" w:lineRule="exact"/>
        <w:ind w:firstLine="640" w:firstLineChars="200"/>
        <w:rPr>
          <w:rFonts w:ascii="仿宋_GB2312" w:eastAsia="仿宋_GB2312"/>
          <w:sz w:val="32"/>
          <w:szCs w:val="32"/>
        </w:rPr>
      </w:pPr>
      <w:r>
        <w:rPr>
          <w:rFonts w:hint="eastAsia" w:ascii="仿宋_GB2312" w:eastAsia="仿宋_GB2312"/>
          <w:sz w:val="32"/>
          <w:szCs w:val="32"/>
        </w:rPr>
        <w:t xml:space="preserve">第三十二条 </w:t>
      </w:r>
      <w:r>
        <w:rPr>
          <w:rFonts w:hint="eastAsia" w:ascii="仿宋_GB2312" w:hAnsi="黑体" w:eastAsia="仿宋_GB2312"/>
          <w:sz w:val="32"/>
          <w:szCs w:val="32"/>
        </w:rPr>
        <w:t>财政部门在代理机构履职评价和监督检查过程中发现代理机构的违法违规行为，需要行政处罚的，按照政府采购相关法律、法规和规章的规定进行行政处罚；代理机构及其工作人员有其他违反政府采购法律、法规和规章的行为，依照政府采购法律、法规和规章的规定进行处罚；涉嫌犯罪的，依法移送司法机关处理。</w:t>
      </w:r>
    </w:p>
    <w:p w14:paraId="3D547377">
      <w:pPr>
        <w:spacing w:line="576" w:lineRule="exact"/>
        <w:ind w:firstLine="640" w:firstLineChars="200"/>
        <w:rPr>
          <w:rFonts w:ascii="仿宋_GB2312" w:hAnsi="黑体" w:eastAsia="仿宋_GB2312"/>
          <w:sz w:val="32"/>
          <w:szCs w:val="32"/>
        </w:rPr>
      </w:pPr>
      <w:r>
        <w:rPr>
          <w:rFonts w:hint="eastAsia" w:ascii="仿宋_GB2312" w:hAnsi="黑体" w:eastAsia="仿宋_GB2312"/>
          <w:sz w:val="32"/>
          <w:szCs w:val="32"/>
        </w:rPr>
        <w:t>发现国家公职人员涉嫌违纪的，移送纪检监察部门处理。检查中发现涉嫌犯罪的，依法移送有关机关处理。</w:t>
      </w:r>
    </w:p>
    <w:p w14:paraId="6BDE82CE">
      <w:pPr>
        <w:spacing w:line="576" w:lineRule="exact"/>
        <w:ind w:firstLine="2720" w:firstLineChars="850"/>
        <w:rPr>
          <w:rFonts w:ascii="黑体" w:hAnsi="黑体" w:eastAsia="黑体"/>
          <w:sz w:val="32"/>
          <w:szCs w:val="32"/>
        </w:rPr>
      </w:pPr>
      <w:r>
        <w:rPr>
          <w:rFonts w:hint="eastAsia" w:ascii="黑体" w:hAnsi="黑体" w:eastAsia="黑体"/>
          <w:sz w:val="32"/>
          <w:szCs w:val="32"/>
        </w:rPr>
        <w:t>第六章 附 则</w:t>
      </w:r>
    </w:p>
    <w:p w14:paraId="524D0C3A">
      <w:pPr>
        <w:spacing w:line="576" w:lineRule="exact"/>
        <w:ind w:firstLine="640" w:firstLineChars="200"/>
        <w:rPr>
          <w:rFonts w:ascii="仿宋_GB2312" w:hAnsi="黑体" w:eastAsia="仿宋_GB2312"/>
          <w:sz w:val="32"/>
          <w:szCs w:val="32"/>
        </w:rPr>
      </w:pPr>
      <w:r>
        <w:rPr>
          <w:rFonts w:hint="eastAsia" w:ascii="仿宋_GB2312" w:eastAsia="仿宋_GB2312"/>
          <w:sz w:val="32"/>
          <w:szCs w:val="32"/>
        </w:rPr>
        <w:t>第三十三条 本办法</w:t>
      </w:r>
      <w:r>
        <w:rPr>
          <w:rFonts w:ascii="仿宋_GB2312" w:eastAsia="仿宋_GB2312"/>
          <w:sz w:val="32"/>
          <w:szCs w:val="32"/>
        </w:rPr>
        <w:t>由甘肃省财政厅负责解释</w:t>
      </w:r>
      <w:r>
        <w:rPr>
          <w:rFonts w:hint="eastAsia" w:ascii="仿宋_GB2312" w:eastAsia="仿宋_GB2312"/>
          <w:sz w:val="32"/>
          <w:szCs w:val="32"/>
        </w:rPr>
        <w:t>。</w:t>
      </w:r>
      <w:r>
        <w:rPr>
          <w:rFonts w:ascii="仿宋_GB2312" w:eastAsia="仿宋_GB2312"/>
          <w:sz w:val="32"/>
          <w:szCs w:val="32"/>
        </w:rPr>
        <w:t>国务院、财政部另有规定的，</w:t>
      </w:r>
      <w:r>
        <w:rPr>
          <w:rFonts w:hint="eastAsia" w:ascii="仿宋_GB2312" w:eastAsia="仿宋_GB2312"/>
          <w:sz w:val="32"/>
          <w:szCs w:val="32"/>
        </w:rPr>
        <w:t>从其</w:t>
      </w:r>
      <w:r>
        <w:rPr>
          <w:rFonts w:ascii="仿宋_GB2312" w:eastAsia="仿宋_GB2312"/>
          <w:sz w:val="32"/>
          <w:szCs w:val="32"/>
        </w:rPr>
        <w:t>规定</w:t>
      </w:r>
      <w:r>
        <w:rPr>
          <w:rFonts w:hint="eastAsia" w:ascii="仿宋_GB2312" w:eastAsia="仿宋_GB2312"/>
          <w:sz w:val="32"/>
          <w:szCs w:val="32"/>
        </w:rPr>
        <w:t>；</w:t>
      </w:r>
      <w:r>
        <w:rPr>
          <w:rFonts w:ascii="仿宋_GB2312" w:eastAsia="仿宋_GB2312"/>
          <w:sz w:val="32"/>
          <w:szCs w:val="32"/>
        </w:rPr>
        <w:t>其他</w:t>
      </w:r>
      <w:r>
        <w:rPr>
          <w:rFonts w:hint="eastAsia" w:ascii="仿宋_GB2312" w:eastAsia="仿宋_GB2312"/>
          <w:sz w:val="32"/>
          <w:szCs w:val="32"/>
        </w:rPr>
        <w:t>与</w:t>
      </w:r>
      <w:r>
        <w:rPr>
          <w:rFonts w:ascii="仿宋_GB2312" w:eastAsia="仿宋_GB2312"/>
          <w:sz w:val="32"/>
          <w:szCs w:val="32"/>
        </w:rPr>
        <w:t>本办法不一致的</w:t>
      </w:r>
      <w:r>
        <w:rPr>
          <w:rFonts w:hint="eastAsia" w:ascii="仿宋_GB2312" w:eastAsia="仿宋_GB2312"/>
          <w:sz w:val="32"/>
          <w:szCs w:val="32"/>
        </w:rPr>
        <w:t>，</w:t>
      </w:r>
      <w:r>
        <w:rPr>
          <w:rFonts w:ascii="仿宋_GB2312" w:eastAsia="仿宋_GB2312"/>
          <w:sz w:val="32"/>
          <w:szCs w:val="32"/>
        </w:rPr>
        <w:t>按照本办法执行。</w:t>
      </w:r>
    </w:p>
    <w:p w14:paraId="70DADC6B">
      <w:pPr>
        <w:spacing w:line="576" w:lineRule="exact"/>
        <w:ind w:firstLine="640" w:firstLineChars="200"/>
        <w:rPr>
          <w:rFonts w:ascii="仿宋_GB2312" w:eastAsia="仿宋_GB2312"/>
          <w:sz w:val="32"/>
          <w:szCs w:val="32"/>
        </w:rPr>
      </w:pPr>
      <w:r>
        <w:rPr>
          <w:rFonts w:hint="eastAsia" w:ascii="仿宋_GB2312" w:eastAsia="仿宋_GB2312"/>
          <w:sz w:val="32"/>
          <w:szCs w:val="32"/>
        </w:rPr>
        <w:t>第三十四条 本办法自</w:t>
      </w:r>
      <w:r>
        <w:rPr>
          <w:rFonts w:ascii="仿宋_GB2312" w:eastAsia="仿宋_GB2312"/>
          <w:sz w:val="32"/>
          <w:szCs w:val="32"/>
        </w:rPr>
        <w:t>2025</w:t>
      </w:r>
      <w:r>
        <w:rPr>
          <w:rFonts w:hint="eastAsia" w:ascii="仿宋_GB2312" w:eastAsia="仿宋_GB2312"/>
          <w:sz w:val="32"/>
          <w:szCs w:val="32"/>
        </w:rPr>
        <w:t>年xx月xx日起施行,有效期xx年。</w:t>
      </w:r>
    </w:p>
    <w:p w14:paraId="3357C342">
      <w:pPr>
        <w:spacing w:line="576" w:lineRule="exact"/>
        <w:ind w:firstLine="200"/>
        <w:rPr>
          <w:rFonts w:ascii="仿宋_GB2312" w:eastAsia="仿宋_GB2312"/>
          <w:sz w:val="32"/>
          <w:szCs w:val="32"/>
        </w:rPr>
      </w:pPr>
    </w:p>
    <w:p w14:paraId="48EA8348">
      <w:pPr>
        <w:spacing w:line="576" w:lineRule="exact"/>
        <w:ind w:firstLine="200"/>
        <w:rPr>
          <w:rFonts w:ascii="仿宋_GB2312" w:eastAsia="仿宋_GB2312"/>
          <w:sz w:val="32"/>
          <w:szCs w:val="32"/>
        </w:rPr>
      </w:pPr>
    </w:p>
    <w:p w14:paraId="1746DC6D">
      <w:pPr>
        <w:spacing w:line="576" w:lineRule="exact"/>
        <w:ind w:firstLine="200"/>
        <w:rPr>
          <w:rFonts w:ascii="仿宋_GB2312" w:eastAsia="仿宋_GB2312"/>
          <w:sz w:val="32"/>
          <w:szCs w:val="32"/>
        </w:rPr>
      </w:pPr>
      <w:r>
        <w:rPr>
          <w:rFonts w:hint="eastAsia" w:ascii="仿宋_GB2312" w:eastAsia="仿宋_GB2312"/>
          <w:sz w:val="32"/>
          <w:szCs w:val="32"/>
        </w:rPr>
        <w:t>附件:1</w:t>
      </w:r>
      <w:r>
        <w:rPr>
          <w:rFonts w:ascii="仿宋_GB2312" w:eastAsia="仿宋_GB2312"/>
          <w:sz w:val="32"/>
          <w:szCs w:val="32"/>
        </w:rPr>
        <w:t>.</w:t>
      </w:r>
      <w:r>
        <w:rPr>
          <w:rFonts w:hint="eastAsia" w:ascii="仿宋_GB2312" w:eastAsia="仿宋_GB2312"/>
          <w:sz w:val="32"/>
          <w:szCs w:val="32"/>
        </w:rPr>
        <w:t>甘肃省</w:t>
      </w:r>
      <w:r>
        <w:rPr>
          <w:rFonts w:ascii="仿宋_GB2312" w:eastAsia="仿宋_GB2312"/>
          <w:sz w:val="32"/>
          <w:szCs w:val="32"/>
        </w:rPr>
        <w:t>政府采购代理机构注销名录登记申请表</w:t>
      </w:r>
    </w:p>
    <w:p w14:paraId="1482F646">
      <w:pPr>
        <w:spacing w:line="576" w:lineRule="exact"/>
        <w:ind w:firstLine="960" w:firstLineChars="3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甘肃省政府采购代理机构履职评价标准</w:t>
      </w:r>
    </w:p>
    <w:p w14:paraId="59C17C4E">
      <w:pPr>
        <w:spacing w:line="576" w:lineRule="exact"/>
        <w:ind w:firstLine="1120" w:firstLineChars="350"/>
        <w:rPr>
          <w:rFonts w:ascii="仿宋_GB2312" w:eastAsia="仿宋_GB2312"/>
          <w:sz w:val="32"/>
          <w:szCs w:val="32"/>
        </w:rPr>
      </w:pPr>
    </w:p>
    <w:p w14:paraId="6ECA987F">
      <w:pPr>
        <w:spacing w:line="576" w:lineRule="exact"/>
        <w:ind w:firstLine="1120" w:firstLineChars="350"/>
        <w:rPr>
          <w:rFonts w:ascii="仿宋_GB2312" w:eastAsia="仿宋_GB2312"/>
          <w:sz w:val="32"/>
          <w:szCs w:val="32"/>
        </w:rPr>
      </w:pPr>
    </w:p>
    <w:p w14:paraId="6D492A02">
      <w:pPr>
        <w:spacing w:line="576" w:lineRule="exact"/>
        <w:ind w:firstLine="1120" w:firstLineChars="350"/>
        <w:rPr>
          <w:rFonts w:ascii="仿宋_GB2312" w:eastAsia="仿宋_GB2312"/>
          <w:sz w:val="32"/>
          <w:szCs w:val="32"/>
        </w:rPr>
      </w:pPr>
    </w:p>
    <w:p w14:paraId="2ADD81E5">
      <w:pPr>
        <w:spacing w:line="576" w:lineRule="exact"/>
        <w:ind w:firstLine="1120" w:firstLineChars="350"/>
        <w:rPr>
          <w:rFonts w:ascii="仿宋_GB2312" w:eastAsia="仿宋_GB2312"/>
          <w:sz w:val="32"/>
          <w:szCs w:val="32"/>
        </w:rPr>
      </w:pPr>
    </w:p>
    <w:p w14:paraId="0ECCE8B7">
      <w:pPr>
        <w:spacing w:line="576" w:lineRule="exact"/>
        <w:ind w:firstLine="1120" w:firstLineChars="350"/>
        <w:rPr>
          <w:rFonts w:ascii="仿宋_GB2312" w:eastAsia="仿宋_GB2312"/>
          <w:sz w:val="32"/>
          <w:szCs w:val="32"/>
        </w:rPr>
      </w:pPr>
    </w:p>
    <w:p w14:paraId="660862A2">
      <w:pPr>
        <w:spacing w:line="576" w:lineRule="exact"/>
        <w:ind w:firstLine="1120" w:firstLineChars="350"/>
        <w:rPr>
          <w:rFonts w:ascii="仿宋_GB2312" w:eastAsia="仿宋_GB2312"/>
          <w:sz w:val="32"/>
          <w:szCs w:val="32"/>
        </w:rPr>
      </w:pPr>
    </w:p>
    <w:p w14:paraId="6ABCDCDB">
      <w:pPr>
        <w:spacing w:line="576" w:lineRule="exact"/>
        <w:ind w:firstLine="1120" w:firstLineChars="350"/>
        <w:rPr>
          <w:rFonts w:ascii="仿宋_GB2312" w:eastAsia="仿宋_GB2312"/>
          <w:sz w:val="32"/>
          <w:szCs w:val="32"/>
        </w:rPr>
      </w:pPr>
    </w:p>
    <w:p w14:paraId="69890584">
      <w:pPr>
        <w:spacing w:line="576" w:lineRule="exact"/>
        <w:rPr>
          <w:rFonts w:ascii="仿宋_GB2312" w:eastAsia="仿宋_GB2312"/>
          <w:sz w:val="32"/>
          <w:szCs w:val="32"/>
        </w:rPr>
      </w:pPr>
    </w:p>
    <w:tbl>
      <w:tblPr>
        <w:tblStyle w:val="8"/>
        <w:tblpPr w:leftFromText="181" w:rightFromText="181" w:vertAnchor="page" w:horzAnchor="margin" w:tblpXSpec="center" w:tblpY="1216"/>
        <w:tblOverlap w:val="never"/>
        <w:tblW w:w="94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26"/>
        <w:gridCol w:w="920"/>
        <w:gridCol w:w="1290"/>
        <w:gridCol w:w="1079"/>
        <w:gridCol w:w="51"/>
        <w:gridCol w:w="1050"/>
        <w:gridCol w:w="1000"/>
        <w:gridCol w:w="1040"/>
        <w:gridCol w:w="1480"/>
      </w:tblGrid>
      <w:tr w14:paraId="262DB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9436" w:type="dxa"/>
            <w:gridSpan w:val="9"/>
            <w:tcBorders>
              <w:top w:val="nil"/>
              <w:left w:val="nil"/>
              <w:bottom w:val="nil"/>
              <w:right w:val="nil"/>
            </w:tcBorders>
            <w:tcMar>
              <w:top w:w="10" w:type="dxa"/>
              <w:left w:w="10" w:type="dxa"/>
              <w:right w:w="10" w:type="dxa"/>
            </w:tcMar>
            <w:vAlign w:val="center"/>
          </w:tcPr>
          <w:p w14:paraId="290B5E72">
            <w:pPr>
              <w:widowControl/>
              <w:spacing w:line="580" w:lineRule="exact"/>
              <w:textAlignment w:val="center"/>
              <w:rPr>
                <w:rFonts w:ascii="仿宋_GB2312" w:hAnsi="仿宋_GB2312" w:eastAsia="仿宋_GB2312" w:cs="仿宋_GB2312"/>
                <w:color w:val="000000"/>
                <w:kern w:val="0"/>
                <w:sz w:val="32"/>
                <w:szCs w:val="30"/>
              </w:rPr>
            </w:pPr>
            <w:r>
              <w:rPr>
                <w:rFonts w:hint="eastAsia" w:ascii="黑体" w:hAnsi="黑体" w:eastAsia="黑体" w:cs="黑体"/>
                <w:color w:val="000000"/>
                <w:kern w:val="0"/>
                <w:sz w:val="32"/>
                <w:szCs w:val="30"/>
              </w:rPr>
              <w:t>附件1</w:t>
            </w:r>
          </w:p>
          <w:p w14:paraId="3433115C">
            <w:pPr>
              <w:widowControl/>
              <w:spacing w:before="156" w:beforeLines="50" w:after="156" w:afterLines="50"/>
              <w:jc w:val="center"/>
              <w:textAlignment w:val="center"/>
              <w:rPr>
                <w:rFonts w:ascii="方正小标宋简体" w:hAnsi="方正小标宋简体" w:eastAsia="方正小标宋简体" w:cs="宋体"/>
                <w:color w:val="000000"/>
                <w:sz w:val="36"/>
                <w:szCs w:val="36"/>
              </w:rPr>
            </w:pPr>
            <w:r>
              <w:rPr>
                <w:rFonts w:hint="eastAsia" w:ascii="方正小标宋简体" w:hAnsi="方正小标宋简体" w:eastAsia="方正小标宋简体" w:cs="黑体"/>
                <w:color w:val="000000"/>
                <w:kern w:val="0"/>
                <w:sz w:val="40"/>
                <w:szCs w:val="36"/>
              </w:rPr>
              <w:t>甘肃省政府采购代理机构注销名录登记申请表</w:t>
            </w:r>
          </w:p>
        </w:tc>
      </w:tr>
      <w:tr w14:paraId="2BD72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exact"/>
        </w:trPr>
        <w:tc>
          <w:tcPr>
            <w:tcW w:w="1526" w:type="dxa"/>
            <w:tcBorders>
              <w:top w:val="nil"/>
              <w:left w:val="nil"/>
              <w:right w:val="nil"/>
            </w:tcBorders>
            <w:tcMar>
              <w:top w:w="10" w:type="dxa"/>
              <w:left w:w="10" w:type="dxa"/>
              <w:right w:w="10" w:type="dxa"/>
            </w:tcMar>
            <w:vAlign w:val="center"/>
          </w:tcPr>
          <w:p w14:paraId="42D2B798">
            <w:pPr>
              <w:widowControl/>
              <w:spacing w:before="156" w:beforeLines="50" w:after="156" w:afterLines="50"/>
              <w:jc w:val="left"/>
              <w:textAlignment w:val="center"/>
              <w:rPr>
                <w:rFonts w:ascii="宋体" w:hAnsi="宋体" w:cs="宋体"/>
                <w:color w:val="000000"/>
                <w:sz w:val="24"/>
              </w:rPr>
            </w:pPr>
            <w:r>
              <w:rPr>
                <w:rFonts w:hint="eastAsia" w:ascii="宋体" w:hAnsi="宋体" w:cs="宋体"/>
                <w:color w:val="000000"/>
                <w:kern w:val="0"/>
                <w:sz w:val="24"/>
              </w:rPr>
              <w:t>申请单位签章</w:t>
            </w:r>
          </w:p>
        </w:tc>
        <w:tc>
          <w:tcPr>
            <w:tcW w:w="920" w:type="dxa"/>
            <w:tcBorders>
              <w:top w:val="nil"/>
              <w:left w:val="nil"/>
              <w:right w:val="nil"/>
            </w:tcBorders>
            <w:tcMar>
              <w:top w:w="10" w:type="dxa"/>
              <w:left w:w="10" w:type="dxa"/>
              <w:right w:w="10" w:type="dxa"/>
            </w:tcMar>
            <w:vAlign w:val="center"/>
          </w:tcPr>
          <w:p w14:paraId="28DA2354">
            <w:pPr>
              <w:spacing w:before="156" w:beforeLines="50" w:after="156" w:afterLines="50"/>
              <w:rPr>
                <w:rFonts w:ascii="宋体" w:hAnsi="宋体" w:cs="宋体"/>
                <w:color w:val="000000"/>
                <w:sz w:val="24"/>
              </w:rPr>
            </w:pPr>
          </w:p>
        </w:tc>
        <w:tc>
          <w:tcPr>
            <w:tcW w:w="1290" w:type="dxa"/>
            <w:tcBorders>
              <w:top w:val="nil"/>
              <w:left w:val="nil"/>
              <w:right w:val="nil"/>
            </w:tcBorders>
            <w:tcMar>
              <w:top w:w="10" w:type="dxa"/>
              <w:left w:w="10" w:type="dxa"/>
              <w:right w:w="10" w:type="dxa"/>
            </w:tcMar>
            <w:vAlign w:val="center"/>
          </w:tcPr>
          <w:p w14:paraId="538A1093">
            <w:pPr>
              <w:spacing w:before="156" w:beforeLines="50" w:after="156" w:afterLines="50"/>
              <w:rPr>
                <w:rFonts w:ascii="宋体" w:hAnsi="宋体" w:cs="宋体"/>
                <w:color w:val="000000"/>
                <w:sz w:val="24"/>
              </w:rPr>
            </w:pPr>
          </w:p>
        </w:tc>
        <w:tc>
          <w:tcPr>
            <w:tcW w:w="1130" w:type="dxa"/>
            <w:gridSpan w:val="2"/>
            <w:tcBorders>
              <w:top w:val="nil"/>
              <w:left w:val="nil"/>
              <w:right w:val="nil"/>
            </w:tcBorders>
            <w:tcMar>
              <w:top w:w="10" w:type="dxa"/>
              <w:left w:w="10" w:type="dxa"/>
              <w:right w:w="10" w:type="dxa"/>
            </w:tcMar>
            <w:vAlign w:val="center"/>
          </w:tcPr>
          <w:p w14:paraId="72AAC70B">
            <w:pPr>
              <w:spacing w:before="156" w:beforeLines="50" w:after="156" w:afterLines="50"/>
              <w:rPr>
                <w:rFonts w:ascii="宋体" w:hAnsi="宋体" w:cs="宋体"/>
                <w:color w:val="000000"/>
                <w:sz w:val="24"/>
              </w:rPr>
            </w:pPr>
          </w:p>
        </w:tc>
        <w:tc>
          <w:tcPr>
            <w:tcW w:w="1050" w:type="dxa"/>
            <w:tcBorders>
              <w:top w:val="nil"/>
              <w:left w:val="nil"/>
              <w:right w:val="nil"/>
            </w:tcBorders>
            <w:tcMar>
              <w:top w:w="10" w:type="dxa"/>
              <w:left w:w="10" w:type="dxa"/>
              <w:right w:w="10" w:type="dxa"/>
            </w:tcMar>
            <w:vAlign w:val="center"/>
          </w:tcPr>
          <w:p w14:paraId="1CA2E390">
            <w:pPr>
              <w:spacing w:before="156" w:beforeLines="50" w:after="156" w:afterLines="50"/>
              <w:rPr>
                <w:rFonts w:ascii="宋体" w:hAnsi="宋体" w:cs="宋体"/>
                <w:color w:val="000000"/>
                <w:sz w:val="24"/>
              </w:rPr>
            </w:pPr>
          </w:p>
        </w:tc>
        <w:tc>
          <w:tcPr>
            <w:tcW w:w="3520" w:type="dxa"/>
            <w:gridSpan w:val="3"/>
            <w:tcBorders>
              <w:top w:val="nil"/>
              <w:left w:val="nil"/>
              <w:right w:val="nil"/>
            </w:tcBorders>
            <w:tcMar>
              <w:top w:w="10" w:type="dxa"/>
              <w:left w:w="10" w:type="dxa"/>
              <w:right w:w="10" w:type="dxa"/>
            </w:tcMar>
            <w:vAlign w:val="center"/>
          </w:tcPr>
          <w:p w14:paraId="3000DAD0">
            <w:pPr>
              <w:widowControl/>
              <w:spacing w:before="156" w:beforeLines="50" w:after="156" w:afterLines="50"/>
              <w:jc w:val="left"/>
              <w:textAlignment w:val="center"/>
              <w:rPr>
                <w:rFonts w:ascii="宋体" w:hAnsi="宋体" w:cs="宋体"/>
                <w:color w:val="000000"/>
                <w:sz w:val="24"/>
              </w:rPr>
            </w:pPr>
            <w:r>
              <w:rPr>
                <w:rFonts w:hint="eastAsia" w:ascii="宋体" w:hAnsi="宋体" w:cs="宋体"/>
                <w:color w:val="000000"/>
                <w:kern w:val="0"/>
                <w:sz w:val="24"/>
              </w:rPr>
              <w:t>填表日期：</w:t>
            </w:r>
          </w:p>
        </w:tc>
      </w:tr>
      <w:tr w14:paraId="3AB95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exact"/>
        </w:trPr>
        <w:tc>
          <w:tcPr>
            <w:tcW w:w="1526" w:type="dxa"/>
            <w:tcMar>
              <w:top w:w="10" w:type="dxa"/>
              <w:left w:w="10" w:type="dxa"/>
              <w:right w:w="10" w:type="dxa"/>
            </w:tcMar>
            <w:vAlign w:val="center"/>
          </w:tcPr>
          <w:p w14:paraId="78DA2E95">
            <w:pPr>
              <w:overflowPunct w:val="0"/>
              <w:jc w:val="center"/>
              <w:textAlignment w:val="center"/>
              <w:rPr>
                <w:rFonts w:ascii="宋体" w:hAnsi="宋体" w:cs="宋体"/>
                <w:color w:val="000000"/>
                <w:sz w:val="24"/>
              </w:rPr>
            </w:pPr>
            <w:r>
              <w:rPr>
                <w:rFonts w:hint="eastAsia" w:ascii="宋体" w:hAnsi="宋体" w:cs="宋体"/>
                <w:color w:val="000000"/>
                <w:kern w:val="0"/>
                <w:sz w:val="24"/>
              </w:rPr>
              <w:t>代理机构名称</w:t>
            </w:r>
          </w:p>
        </w:tc>
        <w:tc>
          <w:tcPr>
            <w:tcW w:w="4390" w:type="dxa"/>
            <w:gridSpan w:val="5"/>
            <w:tcMar>
              <w:top w:w="10" w:type="dxa"/>
              <w:left w:w="10" w:type="dxa"/>
              <w:right w:w="10" w:type="dxa"/>
            </w:tcMar>
            <w:vAlign w:val="center"/>
          </w:tcPr>
          <w:p w14:paraId="6539F161">
            <w:pPr>
              <w:spacing w:before="156" w:beforeLines="50" w:after="156" w:afterLines="50"/>
              <w:jc w:val="center"/>
              <w:rPr>
                <w:rFonts w:ascii="宋体" w:hAnsi="宋体" w:cs="宋体"/>
                <w:color w:val="000000"/>
                <w:sz w:val="24"/>
              </w:rPr>
            </w:pPr>
          </w:p>
        </w:tc>
        <w:tc>
          <w:tcPr>
            <w:tcW w:w="2040" w:type="dxa"/>
            <w:gridSpan w:val="2"/>
            <w:tcMar>
              <w:top w:w="10" w:type="dxa"/>
              <w:left w:w="10" w:type="dxa"/>
              <w:right w:w="10" w:type="dxa"/>
            </w:tcMar>
            <w:vAlign w:val="center"/>
          </w:tcPr>
          <w:p w14:paraId="7AEDFBC3">
            <w:pPr>
              <w:widowControl/>
              <w:jc w:val="center"/>
              <w:textAlignment w:val="center"/>
              <w:rPr>
                <w:rFonts w:ascii="宋体" w:hAnsi="宋体" w:cs="宋体"/>
                <w:color w:val="000000"/>
                <w:sz w:val="24"/>
              </w:rPr>
            </w:pPr>
            <w:r>
              <w:rPr>
                <w:rFonts w:hint="eastAsia" w:ascii="宋体" w:hAnsi="宋体" w:cs="宋体"/>
                <w:color w:val="000000"/>
                <w:kern w:val="0"/>
                <w:sz w:val="24"/>
              </w:rPr>
              <w:t>首次登记时间</w:t>
            </w:r>
          </w:p>
        </w:tc>
        <w:tc>
          <w:tcPr>
            <w:tcW w:w="1480" w:type="dxa"/>
            <w:tcMar>
              <w:top w:w="10" w:type="dxa"/>
              <w:left w:w="10" w:type="dxa"/>
              <w:right w:w="10" w:type="dxa"/>
            </w:tcMar>
            <w:vAlign w:val="center"/>
          </w:tcPr>
          <w:p w14:paraId="16E06CC4">
            <w:pPr>
              <w:spacing w:before="156" w:beforeLines="50" w:after="156" w:afterLines="50"/>
              <w:rPr>
                <w:rFonts w:ascii="宋体" w:hAnsi="宋体" w:cs="宋体"/>
                <w:color w:val="000000"/>
                <w:sz w:val="24"/>
              </w:rPr>
            </w:pPr>
          </w:p>
        </w:tc>
      </w:tr>
      <w:tr w14:paraId="4D67A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exact"/>
        </w:trPr>
        <w:tc>
          <w:tcPr>
            <w:tcW w:w="1526" w:type="dxa"/>
            <w:tcMar>
              <w:top w:w="10" w:type="dxa"/>
              <w:left w:w="10" w:type="dxa"/>
              <w:right w:w="10" w:type="dxa"/>
            </w:tcMar>
            <w:vAlign w:val="center"/>
          </w:tcPr>
          <w:p w14:paraId="73652B5C">
            <w:pPr>
              <w:overflowPunct w:val="0"/>
              <w:jc w:val="center"/>
              <w:textAlignment w:val="center"/>
              <w:rPr>
                <w:rFonts w:ascii="宋体" w:hAnsi="宋体" w:cs="宋体"/>
                <w:color w:val="000000"/>
                <w:sz w:val="24"/>
              </w:rPr>
            </w:pPr>
            <w:r>
              <w:rPr>
                <w:rFonts w:hint="eastAsia" w:ascii="宋体" w:hAnsi="宋体" w:cs="宋体"/>
                <w:color w:val="000000"/>
                <w:kern w:val="0"/>
                <w:sz w:val="24"/>
              </w:rPr>
              <w:t>法定代表人</w:t>
            </w:r>
          </w:p>
        </w:tc>
        <w:tc>
          <w:tcPr>
            <w:tcW w:w="920" w:type="dxa"/>
            <w:tcMar>
              <w:top w:w="10" w:type="dxa"/>
              <w:left w:w="10" w:type="dxa"/>
              <w:right w:w="10" w:type="dxa"/>
            </w:tcMar>
            <w:vAlign w:val="center"/>
          </w:tcPr>
          <w:p w14:paraId="0B3D6C60">
            <w:pPr>
              <w:spacing w:before="156" w:beforeLines="50" w:after="156" w:afterLines="50"/>
              <w:jc w:val="center"/>
              <w:rPr>
                <w:rFonts w:ascii="宋体" w:hAnsi="宋体" w:cs="宋体"/>
                <w:color w:val="000000"/>
                <w:sz w:val="24"/>
              </w:rPr>
            </w:pPr>
          </w:p>
        </w:tc>
        <w:tc>
          <w:tcPr>
            <w:tcW w:w="1290" w:type="dxa"/>
            <w:tcMar>
              <w:top w:w="10" w:type="dxa"/>
              <w:left w:w="10" w:type="dxa"/>
              <w:right w:w="10" w:type="dxa"/>
            </w:tcMar>
            <w:vAlign w:val="center"/>
          </w:tcPr>
          <w:p w14:paraId="4E734D68">
            <w:pPr>
              <w:widowControl/>
              <w:jc w:val="center"/>
              <w:textAlignment w:val="center"/>
              <w:rPr>
                <w:rFonts w:ascii="宋体" w:hAnsi="宋体" w:cs="宋体"/>
                <w:color w:val="000000"/>
                <w:sz w:val="24"/>
              </w:rPr>
            </w:pPr>
            <w:r>
              <w:rPr>
                <w:rFonts w:hint="eastAsia" w:ascii="宋体" w:hAnsi="宋体" w:cs="宋体"/>
                <w:color w:val="000000"/>
                <w:kern w:val="0"/>
                <w:sz w:val="24"/>
              </w:rPr>
              <w:t>电话</w:t>
            </w:r>
          </w:p>
        </w:tc>
        <w:tc>
          <w:tcPr>
            <w:tcW w:w="1130" w:type="dxa"/>
            <w:gridSpan w:val="2"/>
            <w:tcMar>
              <w:top w:w="10" w:type="dxa"/>
              <w:left w:w="10" w:type="dxa"/>
              <w:right w:w="10" w:type="dxa"/>
            </w:tcMar>
            <w:vAlign w:val="center"/>
          </w:tcPr>
          <w:p w14:paraId="386D60E7">
            <w:pPr>
              <w:jc w:val="center"/>
              <w:rPr>
                <w:rFonts w:ascii="宋体" w:hAnsi="宋体" w:cs="宋体"/>
                <w:color w:val="000000"/>
                <w:sz w:val="24"/>
              </w:rPr>
            </w:pPr>
          </w:p>
        </w:tc>
        <w:tc>
          <w:tcPr>
            <w:tcW w:w="1050" w:type="dxa"/>
            <w:tcMar>
              <w:top w:w="10" w:type="dxa"/>
              <w:left w:w="10" w:type="dxa"/>
              <w:right w:w="10" w:type="dxa"/>
            </w:tcMar>
            <w:vAlign w:val="center"/>
          </w:tcPr>
          <w:p w14:paraId="572B5AC1">
            <w:pPr>
              <w:widowControl/>
              <w:jc w:val="center"/>
              <w:textAlignment w:val="center"/>
              <w:rPr>
                <w:rFonts w:ascii="宋体" w:hAnsi="宋体" w:cs="宋体"/>
                <w:color w:val="000000"/>
                <w:sz w:val="24"/>
              </w:rPr>
            </w:pPr>
            <w:r>
              <w:rPr>
                <w:rFonts w:hint="eastAsia" w:ascii="宋体" w:hAnsi="宋体" w:cs="宋体"/>
                <w:color w:val="000000"/>
                <w:kern w:val="0"/>
                <w:sz w:val="24"/>
              </w:rPr>
              <w:t>联系人</w:t>
            </w:r>
          </w:p>
        </w:tc>
        <w:tc>
          <w:tcPr>
            <w:tcW w:w="1000" w:type="dxa"/>
            <w:tcMar>
              <w:top w:w="10" w:type="dxa"/>
              <w:left w:w="10" w:type="dxa"/>
              <w:right w:w="10" w:type="dxa"/>
            </w:tcMar>
            <w:vAlign w:val="center"/>
          </w:tcPr>
          <w:p w14:paraId="354579FA">
            <w:pPr>
              <w:jc w:val="center"/>
              <w:rPr>
                <w:rFonts w:ascii="宋体" w:hAnsi="宋体" w:cs="宋体"/>
                <w:color w:val="000000"/>
                <w:sz w:val="24"/>
              </w:rPr>
            </w:pPr>
          </w:p>
        </w:tc>
        <w:tc>
          <w:tcPr>
            <w:tcW w:w="1040" w:type="dxa"/>
            <w:tcMar>
              <w:top w:w="10" w:type="dxa"/>
              <w:left w:w="10" w:type="dxa"/>
              <w:right w:w="10" w:type="dxa"/>
            </w:tcMar>
            <w:vAlign w:val="center"/>
          </w:tcPr>
          <w:p w14:paraId="456539D2">
            <w:pPr>
              <w:widowControl/>
              <w:jc w:val="center"/>
              <w:textAlignment w:val="center"/>
              <w:rPr>
                <w:rFonts w:ascii="宋体" w:hAnsi="宋体" w:cs="宋体"/>
                <w:color w:val="000000"/>
                <w:sz w:val="24"/>
              </w:rPr>
            </w:pPr>
            <w:r>
              <w:rPr>
                <w:rFonts w:hint="eastAsia" w:ascii="宋体" w:hAnsi="宋体" w:cs="宋体"/>
                <w:color w:val="000000"/>
                <w:kern w:val="0"/>
                <w:sz w:val="24"/>
              </w:rPr>
              <w:t>电话</w:t>
            </w:r>
          </w:p>
        </w:tc>
        <w:tc>
          <w:tcPr>
            <w:tcW w:w="1480" w:type="dxa"/>
            <w:tcMar>
              <w:top w:w="10" w:type="dxa"/>
              <w:left w:w="10" w:type="dxa"/>
              <w:right w:w="10" w:type="dxa"/>
            </w:tcMar>
            <w:vAlign w:val="center"/>
          </w:tcPr>
          <w:p w14:paraId="57680A80">
            <w:pPr>
              <w:jc w:val="center"/>
              <w:rPr>
                <w:rFonts w:ascii="宋体" w:hAnsi="宋体" w:cs="宋体"/>
                <w:color w:val="000000"/>
                <w:sz w:val="24"/>
              </w:rPr>
            </w:pPr>
          </w:p>
        </w:tc>
      </w:tr>
      <w:tr w14:paraId="5D915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exact"/>
        </w:trPr>
        <w:tc>
          <w:tcPr>
            <w:tcW w:w="1526" w:type="dxa"/>
            <w:tcMar>
              <w:top w:w="10" w:type="dxa"/>
              <w:left w:w="10" w:type="dxa"/>
              <w:right w:w="10" w:type="dxa"/>
            </w:tcMar>
            <w:vAlign w:val="center"/>
          </w:tcPr>
          <w:p w14:paraId="1CC51FDE">
            <w:pPr>
              <w:overflowPunct w:val="0"/>
              <w:jc w:val="center"/>
              <w:textAlignment w:val="center"/>
              <w:rPr>
                <w:rFonts w:ascii="宋体" w:hAnsi="宋体" w:cs="宋体"/>
                <w:color w:val="000000"/>
                <w:sz w:val="24"/>
              </w:rPr>
            </w:pPr>
            <w:r>
              <w:rPr>
                <w:rFonts w:hint="eastAsia" w:ascii="宋体" w:hAnsi="宋体" w:cs="宋体"/>
                <w:color w:val="000000"/>
                <w:kern w:val="0"/>
                <w:sz w:val="24"/>
              </w:rPr>
              <w:t>营业地址</w:t>
            </w:r>
          </w:p>
        </w:tc>
        <w:tc>
          <w:tcPr>
            <w:tcW w:w="3340" w:type="dxa"/>
            <w:gridSpan w:val="4"/>
            <w:tcMar>
              <w:top w:w="10" w:type="dxa"/>
              <w:left w:w="10" w:type="dxa"/>
              <w:right w:w="10" w:type="dxa"/>
            </w:tcMar>
            <w:vAlign w:val="center"/>
          </w:tcPr>
          <w:p w14:paraId="5164405E">
            <w:pPr>
              <w:spacing w:before="156" w:beforeLines="50" w:after="156" w:afterLines="50"/>
              <w:jc w:val="center"/>
              <w:rPr>
                <w:rFonts w:ascii="宋体" w:hAnsi="宋体" w:cs="宋体"/>
                <w:color w:val="000000"/>
                <w:sz w:val="24"/>
              </w:rPr>
            </w:pPr>
          </w:p>
        </w:tc>
        <w:tc>
          <w:tcPr>
            <w:tcW w:w="2050" w:type="dxa"/>
            <w:gridSpan w:val="2"/>
            <w:tcMar>
              <w:top w:w="10" w:type="dxa"/>
              <w:left w:w="10" w:type="dxa"/>
              <w:right w:w="10" w:type="dxa"/>
            </w:tcMar>
            <w:vAlign w:val="center"/>
          </w:tcPr>
          <w:p w14:paraId="0E06433F">
            <w:pPr>
              <w:widowControl/>
              <w:jc w:val="center"/>
              <w:textAlignment w:val="center"/>
              <w:rPr>
                <w:rFonts w:ascii="宋体" w:hAnsi="宋体" w:cs="宋体"/>
                <w:color w:val="000000"/>
                <w:sz w:val="24"/>
              </w:rPr>
            </w:pPr>
            <w:r>
              <w:rPr>
                <w:rFonts w:hint="eastAsia" w:ascii="宋体" w:hAnsi="宋体" w:cs="宋体"/>
                <w:color w:val="000000"/>
                <w:kern w:val="0"/>
                <w:sz w:val="24"/>
              </w:rPr>
              <w:t>统一社会信用代码</w:t>
            </w:r>
          </w:p>
        </w:tc>
        <w:tc>
          <w:tcPr>
            <w:tcW w:w="2520" w:type="dxa"/>
            <w:gridSpan w:val="2"/>
            <w:tcMar>
              <w:top w:w="10" w:type="dxa"/>
              <w:left w:w="10" w:type="dxa"/>
              <w:right w:w="10" w:type="dxa"/>
            </w:tcMar>
            <w:vAlign w:val="center"/>
          </w:tcPr>
          <w:p w14:paraId="214E8D59">
            <w:pPr>
              <w:jc w:val="center"/>
              <w:rPr>
                <w:rFonts w:ascii="宋体" w:hAnsi="宋体" w:cs="宋体"/>
                <w:color w:val="000000"/>
                <w:sz w:val="24"/>
              </w:rPr>
            </w:pPr>
          </w:p>
        </w:tc>
      </w:tr>
      <w:tr w14:paraId="6E487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exact"/>
        </w:trPr>
        <w:tc>
          <w:tcPr>
            <w:tcW w:w="9436" w:type="dxa"/>
            <w:gridSpan w:val="9"/>
            <w:tcMar>
              <w:top w:w="10" w:type="dxa"/>
              <w:left w:w="10" w:type="dxa"/>
              <w:right w:w="10" w:type="dxa"/>
            </w:tcMar>
            <w:vAlign w:val="center"/>
          </w:tcPr>
          <w:p w14:paraId="2AED57A7">
            <w:pPr>
              <w:overflowPunct w:val="0"/>
              <w:jc w:val="center"/>
              <w:textAlignment w:val="center"/>
              <w:rPr>
                <w:rFonts w:ascii="宋体" w:hAnsi="宋体" w:cs="宋体"/>
                <w:color w:val="000000"/>
                <w:sz w:val="24"/>
              </w:rPr>
            </w:pPr>
            <w:r>
              <w:rPr>
                <w:rFonts w:hint="eastAsia" w:ascii="宋体" w:hAnsi="宋体" w:cs="宋体"/>
                <w:color w:val="000000"/>
                <w:kern w:val="0"/>
                <w:sz w:val="24"/>
              </w:rPr>
              <w:t>代理项目情况（若数量多可另附表）</w:t>
            </w:r>
          </w:p>
        </w:tc>
      </w:tr>
      <w:tr w14:paraId="2DED6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exact"/>
        </w:trPr>
        <w:tc>
          <w:tcPr>
            <w:tcW w:w="4815" w:type="dxa"/>
            <w:gridSpan w:val="4"/>
            <w:tcMar>
              <w:top w:w="10" w:type="dxa"/>
              <w:left w:w="10" w:type="dxa"/>
              <w:right w:w="10" w:type="dxa"/>
            </w:tcMar>
            <w:vAlign w:val="center"/>
          </w:tcPr>
          <w:p w14:paraId="6DF3592E">
            <w:pPr>
              <w:overflowPunct w:val="0"/>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2101" w:type="dxa"/>
            <w:gridSpan w:val="3"/>
            <w:tcMar>
              <w:top w:w="10" w:type="dxa"/>
              <w:left w:w="10" w:type="dxa"/>
              <w:right w:w="10" w:type="dxa"/>
            </w:tcMar>
            <w:vAlign w:val="center"/>
          </w:tcPr>
          <w:p w14:paraId="2BB12FB9">
            <w:pPr>
              <w:widowControl/>
              <w:jc w:val="center"/>
              <w:textAlignment w:val="center"/>
              <w:rPr>
                <w:rFonts w:ascii="宋体" w:hAnsi="宋体" w:cs="宋体"/>
                <w:color w:val="000000"/>
                <w:sz w:val="24"/>
              </w:rPr>
            </w:pPr>
            <w:r>
              <w:rPr>
                <w:rFonts w:hint="eastAsia" w:ascii="宋体" w:hAnsi="宋体" w:cs="宋体"/>
                <w:color w:val="000000"/>
                <w:kern w:val="0"/>
                <w:sz w:val="24"/>
              </w:rPr>
              <w:t>项目编号</w:t>
            </w:r>
          </w:p>
        </w:tc>
        <w:tc>
          <w:tcPr>
            <w:tcW w:w="2520" w:type="dxa"/>
            <w:gridSpan w:val="2"/>
            <w:tcMar>
              <w:top w:w="10" w:type="dxa"/>
              <w:left w:w="10" w:type="dxa"/>
              <w:right w:w="10" w:type="dxa"/>
            </w:tcMar>
            <w:vAlign w:val="center"/>
          </w:tcPr>
          <w:p w14:paraId="4780A958">
            <w:pPr>
              <w:widowControl/>
              <w:jc w:val="center"/>
              <w:textAlignment w:val="center"/>
              <w:rPr>
                <w:rFonts w:ascii="宋体" w:hAnsi="宋体" w:cs="宋体"/>
                <w:color w:val="000000"/>
                <w:sz w:val="24"/>
              </w:rPr>
            </w:pPr>
            <w:r>
              <w:rPr>
                <w:rFonts w:hint="eastAsia" w:ascii="宋体" w:hAnsi="宋体" w:cs="宋体"/>
                <w:color w:val="000000"/>
                <w:kern w:val="0"/>
                <w:sz w:val="24"/>
              </w:rPr>
              <w:t>是否已移交档案</w:t>
            </w:r>
          </w:p>
        </w:tc>
      </w:tr>
      <w:tr w14:paraId="6321F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exact"/>
        </w:trPr>
        <w:tc>
          <w:tcPr>
            <w:tcW w:w="4815" w:type="dxa"/>
            <w:gridSpan w:val="4"/>
            <w:tcMar>
              <w:top w:w="10" w:type="dxa"/>
              <w:left w:w="10" w:type="dxa"/>
              <w:right w:w="10" w:type="dxa"/>
            </w:tcMar>
            <w:vAlign w:val="center"/>
          </w:tcPr>
          <w:p w14:paraId="077BFB7D">
            <w:pPr>
              <w:spacing w:before="156" w:beforeLines="50" w:after="156" w:afterLines="50"/>
              <w:jc w:val="center"/>
              <w:rPr>
                <w:rFonts w:ascii="宋体" w:hAnsi="宋体" w:cs="宋体"/>
                <w:color w:val="000000"/>
                <w:sz w:val="24"/>
              </w:rPr>
            </w:pPr>
          </w:p>
        </w:tc>
        <w:tc>
          <w:tcPr>
            <w:tcW w:w="2101" w:type="dxa"/>
            <w:gridSpan w:val="3"/>
            <w:tcMar>
              <w:top w:w="10" w:type="dxa"/>
              <w:left w:w="10" w:type="dxa"/>
              <w:right w:w="10" w:type="dxa"/>
            </w:tcMar>
            <w:vAlign w:val="center"/>
          </w:tcPr>
          <w:p w14:paraId="3A6BA2C2">
            <w:pPr>
              <w:spacing w:before="156" w:beforeLines="50" w:after="156" w:afterLines="50"/>
              <w:jc w:val="center"/>
              <w:rPr>
                <w:rFonts w:ascii="宋体" w:hAnsi="宋体" w:cs="宋体"/>
                <w:color w:val="000000"/>
                <w:sz w:val="24"/>
              </w:rPr>
            </w:pPr>
          </w:p>
        </w:tc>
        <w:tc>
          <w:tcPr>
            <w:tcW w:w="2520" w:type="dxa"/>
            <w:gridSpan w:val="2"/>
            <w:tcMar>
              <w:top w:w="10" w:type="dxa"/>
              <w:left w:w="10" w:type="dxa"/>
              <w:right w:w="10" w:type="dxa"/>
            </w:tcMar>
            <w:vAlign w:val="center"/>
          </w:tcPr>
          <w:p w14:paraId="4E4FB6BB">
            <w:pPr>
              <w:spacing w:before="156" w:beforeLines="50" w:after="156" w:afterLines="50"/>
              <w:jc w:val="center"/>
              <w:rPr>
                <w:rFonts w:ascii="宋体" w:hAnsi="宋体" w:cs="宋体"/>
                <w:color w:val="000000"/>
                <w:sz w:val="24"/>
              </w:rPr>
            </w:pPr>
          </w:p>
        </w:tc>
      </w:tr>
      <w:tr w14:paraId="7BD1A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exact"/>
        </w:trPr>
        <w:tc>
          <w:tcPr>
            <w:tcW w:w="4815" w:type="dxa"/>
            <w:gridSpan w:val="4"/>
            <w:tcMar>
              <w:top w:w="10" w:type="dxa"/>
              <w:left w:w="10" w:type="dxa"/>
              <w:right w:w="10" w:type="dxa"/>
            </w:tcMar>
            <w:vAlign w:val="center"/>
          </w:tcPr>
          <w:p w14:paraId="2A1A0637">
            <w:pPr>
              <w:spacing w:before="156" w:beforeLines="50" w:after="156" w:afterLines="50"/>
              <w:jc w:val="center"/>
              <w:rPr>
                <w:rFonts w:ascii="宋体" w:hAnsi="宋体" w:cs="宋体"/>
                <w:color w:val="000000"/>
                <w:sz w:val="24"/>
              </w:rPr>
            </w:pPr>
          </w:p>
        </w:tc>
        <w:tc>
          <w:tcPr>
            <w:tcW w:w="2101" w:type="dxa"/>
            <w:gridSpan w:val="3"/>
            <w:tcMar>
              <w:top w:w="10" w:type="dxa"/>
              <w:left w:w="10" w:type="dxa"/>
              <w:right w:w="10" w:type="dxa"/>
            </w:tcMar>
            <w:vAlign w:val="center"/>
          </w:tcPr>
          <w:p w14:paraId="436D3902">
            <w:pPr>
              <w:spacing w:before="156" w:beforeLines="50" w:after="156" w:afterLines="50"/>
              <w:jc w:val="center"/>
              <w:rPr>
                <w:rFonts w:ascii="宋体" w:hAnsi="宋体" w:cs="宋体"/>
                <w:color w:val="000000"/>
                <w:sz w:val="24"/>
              </w:rPr>
            </w:pPr>
          </w:p>
        </w:tc>
        <w:tc>
          <w:tcPr>
            <w:tcW w:w="2520" w:type="dxa"/>
            <w:gridSpan w:val="2"/>
            <w:tcMar>
              <w:top w:w="10" w:type="dxa"/>
              <w:left w:w="10" w:type="dxa"/>
              <w:right w:w="10" w:type="dxa"/>
            </w:tcMar>
            <w:vAlign w:val="center"/>
          </w:tcPr>
          <w:p w14:paraId="5030D113">
            <w:pPr>
              <w:spacing w:before="156" w:beforeLines="50" w:after="156" w:afterLines="50"/>
              <w:jc w:val="center"/>
              <w:rPr>
                <w:rFonts w:ascii="宋体" w:hAnsi="宋体" w:cs="宋体"/>
                <w:color w:val="000000"/>
                <w:sz w:val="24"/>
              </w:rPr>
            </w:pPr>
          </w:p>
        </w:tc>
      </w:tr>
      <w:tr w14:paraId="5FBD8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exact"/>
        </w:trPr>
        <w:tc>
          <w:tcPr>
            <w:tcW w:w="4815" w:type="dxa"/>
            <w:gridSpan w:val="4"/>
            <w:tcMar>
              <w:top w:w="10" w:type="dxa"/>
              <w:left w:w="10" w:type="dxa"/>
              <w:right w:w="10" w:type="dxa"/>
            </w:tcMar>
            <w:vAlign w:val="center"/>
          </w:tcPr>
          <w:p w14:paraId="35F81608">
            <w:pPr>
              <w:spacing w:before="156" w:beforeLines="50" w:after="156" w:afterLines="50"/>
              <w:jc w:val="center"/>
              <w:rPr>
                <w:rFonts w:ascii="宋体" w:hAnsi="宋体" w:cs="宋体"/>
                <w:color w:val="000000"/>
                <w:sz w:val="24"/>
              </w:rPr>
            </w:pPr>
          </w:p>
        </w:tc>
        <w:tc>
          <w:tcPr>
            <w:tcW w:w="2101" w:type="dxa"/>
            <w:gridSpan w:val="3"/>
            <w:tcMar>
              <w:top w:w="10" w:type="dxa"/>
              <w:left w:w="10" w:type="dxa"/>
              <w:right w:w="10" w:type="dxa"/>
            </w:tcMar>
            <w:vAlign w:val="center"/>
          </w:tcPr>
          <w:p w14:paraId="0971F120">
            <w:pPr>
              <w:spacing w:before="156" w:beforeLines="50" w:after="156" w:afterLines="50"/>
              <w:jc w:val="center"/>
              <w:rPr>
                <w:rFonts w:ascii="宋体" w:hAnsi="宋体" w:cs="宋体"/>
                <w:color w:val="000000"/>
                <w:sz w:val="24"/>
              </w:rPr>
            </w:pPr>
          </w:p>
        </w:tc>
        <w:tc>
          <w:tcPr>
            <w:tcW w:w="2520" w:type="dxa"/>
            <w:gridSpan w:val="2"/>
            <w:tcMar>
              <w:top w:w="10" w:type="dxa"/>
              <w:left w:w="10" w:type="dxa"/>
              <w:right w:w="10" w:type="dxa"/>
            </w:tcMar>
            <w:vAlign w:val="center"/>
          </w:tcPr>
          <w:p w14:paraId="733BFF49">
            <w:pPr>
              <w:spacing w:before="156" w:beforeLines="50" w:after="156" w:afterLines="50"/>
              <w:jc w:val="center"/>
              <w:rPr>
                <w:rFonts w:ascii="宋体" w:hAnsi="宋体" w:cs="宋体"/>
                <w:color w:val="000000"/>
                <w:sz w:val="24"/>
              </w:rPr>
            </w:pPr>
          </w:p>
        </w:tc>
      </w:tr>
      <w:tr w14:paraId="1F7FE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exact"/>
        </w:trPr>
        <w:tc>
          <w:tcPr>
            <w:tcW w:w="4815" w:type="dxa"/>
            <w:gridSpan w:val="4"/>
            <w:tcMar>
              <w:top w:w="10" w:type="dxa"/>
              <w:left w:w="10" w:type="dxa"/>
              <w:right w:w="10" w:type="dxa"/>
            </w:tcMar>
            <w:vAlign w:val="center"/>
          </w:tcPr>
          <w:p w14:paraId="05468410">
            <w:pPr>
              <w:spacing w:before="156" w:beforeLines="50" w:after="156" w:afterLines="50"/>
              <w:jc w:val="center"/>
              <w:rPr>
                <w:rFonts w:ascii="宋体" w:hAnsi="宋体" w:cs="宋体"/>
                <w:color w:val="000000"/>
                <w:sz w:val="24"/>
              </w:rPr>
            </w:pPr>
          </w:p>
        </w:tc>
        <w:tc>
          <w:tcPr>
            <w:tcW w:w="2101" w:type="dxa"/>
            <w:gridSpan w:val="3"/>
            <w:tcMar>
              <w:top w:w="10" w:type="dxa"/>
              <w:left w:w="10" w:type="dxa"/>
              <w:right w:w="10" w:type="dxa"/>
            </w:tcMar>
            <w:vAlign w:val="center"/>
          </w:tcPr>
          <w:p w14:paraId="7D45154D">
            <w:pPr>
              <w:spacing w:before="156" w:beforeLines="50" w:after="156" w:afterLines="50"/>
              <w:jc w:val="center"/>
              <w:rPr>
                <w:rFonts w:ascii="宋体" w:hAnsi="宋体" w:cs="宋体"/>
                <w:color w:val="000000"/>
                <w:sz w:val="24"/>
              </w:rPr>
            </w:pPr>
          </w:p>
        </w:tc>
        <w:tc>
          <w:tcPr>
            <w:tcW w:w="2520" w:type="dxa"/>
            <w:gridSpan w:val="2"/>
            <w:tcMar>
              <w:top w:w="10" w:type="dxa"/>
              <w:left w:w="10" w:type="dxa"/>
              <w:right w:w="10" w:type="dxa"/>
            </w:tcMar>
            <w:vAlign w:val="center"/>
          </w:tcPr>
          <w:p w14:paraId="5E4F33B7">
            <w:pPr>
              <w:spacing w:before="156" w:beforeLines="50" w:after="156" w:afterLines="50"/>
              <w:jc w:val="center"/>
              <w:rPr>
                <w:rFonts w:ascii="宋体" w:hAnsi="宋体" w:cs="宋体"/>
                <w:color w:val="000000"/>
                <w:sz w:val="24"/>
              </w:rPr>
            </w:pPr>
          </w:p>
        </w:tc>
      </w:tr>
      <w:tr w14:paraId="5A1C9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exact"/>
        </w:trPr>
        <w:tc>
          <w:tcPr>
            <w:tcW w:w="4815" w:type="dxa"/>
            <w:gridSpan w:val="4"/>
            <w:tcMar>
              <w:top w:w="10" w:type="dxa"/>
              <w:left w:w="10" w:type="dxa"/>
              <w:right w:w="10" w:type="dxa"/>
            </w:tcMar>
            <w:vAlign w:val="center"/>
          </w:tcPr>
          <w:p w14:paraId="07CEB39E">
            <w:pPr>
              <w:spacing w:before="156" w:beforeLines="50" w:after="156" w:afterLines="50"/>
              <w:jc w:val="center"/>
              <w:rPr>
                <w:rFonts w:ascii="宋体" w:hAnsi="宋体" w:cs="宋体"/>
                <w:color w:val="000000"/>
                <w:sz w:val="24"/>
              </w:rPr>
            </w:pPr>
          </w:p>
        </w:tc>
        <w:tc>
          <w:tcPr>
            <w:tcW w:w="2101" w:type="dxa"/>
            <w:gridSpan w:val="3"/>
            <w:tcMar>
              <w:top w:w="10" w:type="dxa"/>
              <w:left w:w="10" w:type="dxa"/>
              <w:right w:w="10" w:type="dxa"/>
            </w:tcMar>
            <w:vAlign w:val="center"/>
          </w:tcPr>
          <w:p w14:paraId="1FCD5C7D">
            <w:pPr>
              <w:spacing w:before="156" w:beforeLines="50" w:after="156" w:afterLines="50"/>
              <w:jc w:val="center"/>
              <w:rPr>
                <w:rFonts w:ascii="宋体" w:hAnsi="宋体" w:cs="宋体"/>
                <w:color w:val="000000"/>
                <w:sz w:val="24"/>
              </w:rPr>
            </w:pPr>
          </w:p>
        </w:tc>
        <w:tc>
          <w:tcPr>
            <w:tcW w:w="2520" w:type="dxa"/>
            <w:gridSpan w:val="2"/>
            <w:tcMar>
              <w:top w:w="10" w:type="dxa"/>
              <w:left w:w="10" w:type="dxa"/>
              <w:right w:w="10" w:type="dxa"/>
            </w:tcMar>
            <w:vAlign w:val="center"/>
          </w:tcPr>
          <w:p w14:paraId="2461E1B5">
            <w:pPr>
              <w:spacing w:before="156" w:beforeLines="50" w:after="156" w:afterLines="50"/>
              <w:jc w:val="center"/>
              <w:rPr>
                <w:rFonts w:ascii="宋体" w:hAnsi="宋体" w:cs="宋体"/>
                <w:color w:val="000000"/>
                <w:sz w:val="24"/>
              </w:rPr>
            </w:pPr>
          </w:p>
        </w:tc>
      </w:tr>
      <w:tr w14:paraId="0E561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exact"/>
        </w:trPr>
        <w:tc>
          <w:tcPr>
            <w:tcW w:w="4815" w:type="dxa"/>
            <w:gridSpan w:val="4"/>
            <w:tcMar>
              <w:top w:w="10" w:type="dxa"/>
              <w:left w:w="10" w:type="dxa"/>
              <w:right w:w="10" w:type="dxa"/>
            </w:tcMar>
            <w:vAlign w:val="center"/>
          </w:tcPr>
          <w:p w14:paraId="16A7A428">
            <w:pPr>
              <w:spacing w:before="156" w:beforeLines="50" w:after="156" w:afterLines="50"/>
              <w:jc w:val="center"/>
              <w:rPr>
                <w:rFonts w:ascii="宋体" w:hAnsi="宋体" w:cs="宋体"/>
                <w:color w:val="000000"/>
                <w:sz w:val="24"/>
              </w:rPr>
            </w:pPr>
          </w:p>
        </w:tc>
        <w:tc>
          <w:tcPr>
            <w:tcW w:w="2101" w:type="dxa"/>
            <w:gridSpan w:val="3"/>
            <w:tcMar>
              <w:top w:w="10" w:type="dxa"/>
              <w:left w:w="10" w:type="dxa"/>
              <w:right w:w="10" w:type="dxa"/>
            </w:tcMar>
            <w:vAlign w:val="center"/>
          </w:tcPr>
          <w:p w14:paraId="38515C7C">
            <w:pPr>
              <w:spacing w:before="156" w:beforeLines="50" w:after="156" w:afterLines="50"/>
              <w:jc w:val="center"/>
              <w:rPr>
                <w:rFonts w:ascii="宋体" w:hAnsi="宋体" w:cs="宋体"/>
                <w:color w:val="000000"/>
                <w:sz w:val="24"/>
              </w:rPr>
            </w:pPr>
          </w:p>
        </w:tc>
        <w:tc>
          <w:tcPr>
            <w:tcW w:w="2520" w:type="dxa"/>
            <w:gridSpan w:val="2"/>
            <w:tcMar>
              <w:top w:w="10" w:type="dxa"/>
              <w:left w:w="10" w:type="dxa"/>
              <w:right w:w="10" w:type="dxa"/>
            </w:tcMar>
            <w:vAlign w:val="center"/>
          </w:tcPr>
          <w:p w14:paraId="2455E59A">
            <w:pPr>
              <w:spacing w:before="156" w:beforeLines="50" w:after="156" w:afterLines="50"/>
              <w:jc w:val="center"/>
              <w:rPr>
                <w:rFonts w:ascii="宋体" w:hAnsi="宋体" w:cs="宋体"/>
                <w:color w:val="000000"/>
                <w:sz w:val="24"/>
              </w:rPr>
            </w:pPr>
          </w:p>
        </w:tc>
      </w:tr>
      <w:tr w14:paraId="67FFA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exact"/>
        </w:trPr>
        <w:tc>
          <w:tcPr>
            <w:tcW w:w="4815" w:type="dxa"/>
            <w:gridSpan w:val="4"/>
            <w:tcMar>
              <w:top w:w="10" w:type="dxa"/>
              <w:left w:w="10" w:type="dxa"/>
              <w:right w:w="10" w:type="dxa"/>
            </w:tcMar>
            <w:vAlign w:val="center"/>
          </w:tcPr>
          <w:p w14:paraId="17892679">
            <w:pPr>
              <w:spacing w:before="156" w:beforeLines="50" w:after="156" w:afterLines="50"/>
              <w:jc w:val="center"/>
              <w:rPr>
                <w:rFonts w:ascii="宋体" w:hAnsi="宋体" w:cs="宋体"/>
                <w:color w:val="000000"/>
                <w:sz w:val="24"/>
              </w:rPr>
            </w:pPr>
          </w:p>
        </w:tc>
        <w:tc>
          <w:tcPr>
            <w:tcW w:w="2101" w:type="dxa"/>
            <w:gridSpan w:val="3"/>
            <w:tcMar>
              <w:top w:w="10" w:type="dxa"/>
              <w:left w:w="10" w:type="dxa"/>
              <w:right w:w="10" w:type="dxa"/>
            </w:tcMar>
            <w:vAlign w:val="center"/>
          </w:tcPr>
          <w:p w14:paraId="0395A709">
            <w:pPr>
              <w:spacing w:before="156" w:beforeLines="50" w:after="156" w:afterLines="50"/>
              <w:jc w:val="center"/>
              <w:rPr>
                <w:rFonts w:ascii="宋体" w:hAnsi="宋体" w:cs="宋体"/>
                <w:color w:val="000000"/>
                <w:sz w:val="24"/>
              </w:rPr>
            </w:pPr>
          </w:p>
        </w:tc>
        <w:tc>
          <w:tcPr>
            <w:tcW w:w="2520" w:type="dxa"/>
            <w:gridSpan w:val="2"/>
            <w:tcMar>
              <w:top w:w="10" w:type="dxa"/>
              <w:left w:w="10" w:type="dxa"/>
              <w:right w:w="10" w:type="dxa"/>
            </w:tcMar>
            <w:vAlign w:val="center"/>
          </w:tcPr>
          <w:p w14:paraId="1F35A4CA">
            <w:pPr>
              <w:spacing w:before="156" w:beforeLines="50" w:after="156" w:afterLines="50"/>
              <w:jc w:val="center"/>
              <w:rPr>
                <w:rFonts w:ascii="宋体" w:hAnsi="宋体" w:cs="宋体"/>
                <w:color w:val="000000"/>
                <w:sz w:val="24"/>
              </w:rPr>
            </w:pPr>
          </w:p>
        </w:tc>
      </w:tr>
      <w:tr w14:paraId="0AC93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exact"/>
        </w:trPr>
        <w:tc>
          <w:tcPr>
            <w:tcW w:w="4815" w:type="dxa"/>
            <w:gridSpan w:val="4"/>
            <w:tcMar>
              <w:top w:w="10" w:type="dxa"/>
              <w:left w:w="10" w:type="dxa"/>
              <w:right w:w="10" w:type="dxa"/>
            </w:tcMar>
            <w:vAlign w:val="center"/>
          </w:tcPr>
          <w:p w14:paraId="56942E80">
            <w:pPr>
              <w:spacing w:before="156" w:beforeLines="50" w:after="156" w:afterLines="50"/>
              <w:jc w:val="center"/>
              <w:rPr>
                <w:rFonts w:ascii="宋体" w:hAnsi="宋体" w:cs="宋体"/>
                <w:color w:val="000000"/>
                <w:sz w:val="24"/>
              </w:rPr>
            </w:pPr>
          </w:p>
        </w:tc>
        <w:tc>
          <w:tcPr>
            <w:tcW w:w="2101" w:type="dxa"/>
            <w:gridSpan w:val="3"/>
            <w:tcMar>
              <w:top w:w="10" w:type="dxa"/>
              <w:left w:w="10" w:type="dxa"/>
              <w:right w:w="10" w:type="dxa"/>
            </w:tcMar>
            <w:vAlign w:val="center"/>
          </w:tcPr>
          <w:p w14:paraId="0DC8C709">
            <w:pPr>
              <w:spacing w:before="156" w:beforeLines="50" w:after="156" w:afterLines="50"/>
              <w:jc w:val="center"/>
              <w:rPr>
                <w:rFonts w:ascii="宋体" w:hAnsi="宋体" w:cs="宋体"/>
                <w:color w:val="000000"/>
                <w:sz w:val="24"/>
              </w:rPr>
            </w:pPr>
          </w:p>
        </w:tc>
        <w:tc>
          <w:tcPr>
            <w:tcW w:w="2520" w:type="dxa"/>
            <w:gridSpan w:val="2"/>
            <w:tcMar>
              <w:top w:w="10" w:type="dxa"/>
              <w:left w:w="10" w:type="dxa"/>
              <w:right w:w="10" w:type="dxa"/>
            </w:tcMar>
            <w:vAlign w:val="center"/>
          </w:tcPr>
          <w:p w14:paraId="6A885246">
            <w:pPr>
              <w:spacing w:before="156" w:beforeLines="50" w:after="156" w:afterLines="50"/>
              <w:jc w:val="center"/>
              <w:rPr>
                <w:rFonts w:ascii="宋体" w:hAnsi="宋体" w:cs="宋体"/>
                <w:color w:val="000000"/>
                <w:sz w:val="24"/>
              </w:rPr>
            </w:pPr>
          </w:p>
        </w:tc>
      </w:tr>
      <w:tr w14:paraId="450E4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9" w:hRule="exact"/>
        </w:trPr>
        <w:tc>
          <w:tcPr>
            <w:tcW w:w="9436" w:type="dxa"/>
            <w:gridSpan w:val="9"/>
            <w:tcMar>
              <w:top w:w="10" w:type="dxa"/>
              <w:left w:w="10" w:type="dxa"/>
              <w:right w:w="10" w:type="dxa"/>
            </w:tcMar>
            <w:vAlign w:val="center"/>
          </w:tcPr>
          <w:p w14:paraId="641642D2">
            <w:pPr>
              <w:overflowPunct w:val="0"/>
              <w:jc w:val="center"/>
              <w:textAlignment w:val="center"/>
              <w:rPr>
                <w:rFonts w:ascii="宋体" w:hAnsi="宋体" w:cs="宋体"/>
                <w:color w:val="000000"/>
                <w:sz w:val="24"/>
              </w:rPr>
            </w:pPr>
            <w:r>
              <w:rPr>
                <w:rFonts w:hint="eastAsia" w:ascii="宋体" w:hAnsi="宋体" w:cs="宋体"/>
                <w:color w:val="000000"/>
                <w:kern w:val="0"/>
                <w:sz w:val="24"/>
              </w:rPr>
              <w:t xml:space="preserve"> 申请注销原因</w:t>
            </w:r>
          </w:p>
        </w:tc>
      </w:tr>
      <w:tr w14:paraId="7B99B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exact"/>
        </w:trPr>
        <w:tc>
          <w:tcPr>
            <w:tcW w:w="9436" w:type="dxa"/>
            <w:gridSpan w:val="9"/>
            <w:vMerge w:val="restart"/>
            <w:tcMar>
              <w:top w:w="10" w:type="dxa"/>
              <w:left w:w="10" w:type="dxa"/>
              <w:right w:w="10" w:type="dxa"/>
            </w:tcMar>
            <w:vAlign w:val="center"/>
          </w:tcPr>
          <w:p w14:paraId="507460B2">
            <w:pPr>
              <w:tabs>
                <w:tab w:val="left" w:pos="1922"/>
              </w:tabs>
              <w:overflowPunct w:val="0"/>
              <w:jc w:val="left"/>
              <w:rPr>
                <w:rFonts w:ascii="宋体" w:hAnsi="宋体" w:cs="宋体"/>
                <w:color w:val="000000"/>
                <w:sz w:val="24"/>
              </w:rPr>
            </w:pPr>
          </w:p>
          <w:p w14:paraId="1BAE60A9">
            <w:pPr>
              <w:tabs>
                <w:tab w:val="left" w:pos="1922"/>
              </w:tabs>
              <w:overflowPunct w:val="0"/>
              <w:jc w:val="left"/>
              <w:rPr>
                <w:rFonts w:ascii="宋体" w:hAnsi="宋体" w:cs="宋体"/>
                <w:color w:val="000000"/>
                <w:sz w:val="24"/>
              </w:rPr>
            </w:pPr>
          </w:p>
          <w:p w14:paraId="0BBEFEA0">
            <w:pPr>
              <w:tabs>
                <w:tab w:val="left" w:pos="1922"/>
              </w:tabs>
              <w:overflowPunct w:val="0"/>
              <w:jc w:val="left"/>
              <w:rPr>
                <w:rFonts w:ascii="宋体" w:hAnsi="宋体" w:cs="宋体"/>
                <w:color w:val="000000"/>
                <w:sz w:val="24"/>
              </w:rPr>
            </w:pPr>
          </w:p>
          <w:p w14:paraId="393B01B0">
            <w:pPr>
              <w:tabs>
                <w:tab w:val="left" w:pos="1922"/>
              </w:tabs>
              <w:overflowPunct w:val="0"/>
              <w:jc w:val="left"/>
              <w:rPr>
                <w:rFonts w:ascii="宋体" w:hAnsi="宋体" w:cs="宋体"/>
                <w:color w:val="000000"/>
                <w:sz w:val="24"/>
              </w:rPr>
            </w:pPr>
          </w:p>
          <w:p w14:paraId="27BC944E">
            <w:pPr>
              <w:tabs>
                <w:tab w:val="left" w:pos="1922"/>
              </w:tabs>
              <w:overflowPunct w:val="0"/>
              <w:jc w:val="left"/>
              <w:rPr>
                <w:rFonts w:ascii="宋体" w:hAnsi="宋体" w:cs="宋体"/>
                <w:color w:val="000000"/>
                <w:sz w:val="24"/>
              </w:rPr>
            </w:pPr>
          </w:p>
          <w:p w14:paraId="0892463C">
            <w:pPr>
              <w:tabs>
                <w:tab w:val="left" w:pos="1922"/>
              </w:tabs>
              <w:overflowPunct w:val="0"/>
              <w:jc w:val="left"/>
              <w:rPr>
                <w:rFonts w:ascii="宋体" w:hAnsi="宋体" w:cs="宋体"/>
                <w:color w:val="000000"/>
                <w:sz w:val="24"/>
              </w:rPr>
            </w:pPr>
          </w:p>
          <w:p w14:paraId="6E9D33BA">
            <w:pPr>
              <w:tabs>
                <w:tab w:val="left" w:pos="1922"/>
              </w:tabs>
              <w:overflowPunct w:val="0"/>
              <w:jc w:val="left"/>
              <w:rPr>
                <w:rFonts w:ascii="宋体" w:hAnsi="宋体" w:cs="宋体"/>
                <w:color w:val="000000"/>
                <w:sz w:val="24"/>
              </w:rPr>
            </w:pPr>
          </w:p>
          <w:p w14:paraId="1FD64ECC">
            <w:pPr>
              <w:tabs>
                <w:tab w:val="left" w:pos="1922"/>
              </w:tabs>
              <w:overflowPunct w:val="0"/>
              <w:jc w:val="left"/>
              <w:rPr>
                <w:rFonts w:ascii="宋体" w:hAnsi="宋体" w:cs="宋体"/>
                <w:color w:val="000000"/>
                <w:sz w:val="24"/>
              </w:rPr>
            </w:pPr>
          </w:p>
        </w:tc>
      </w:tr>
      <w:tr w14:paraId="41BC1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9436" w:type="dxa"/>
            <w:gridSpan w:val="9"/>
            <w:vMerge w:val="continue"/>
            <w:tcMar>
              <w:top w:w="10" w:type="dxa"/>
              <w:left w:w="10" w:type="dxa"/>
              <w:right w:w="10" w:type="dxa"/>
            </w:tcMar>
            <w:vAlign w:val="center"/>
          </w:tcPr>
          <w:p w14:paraId="52C3EF31">
            <w:pPr>
              <w:overflowPunct w:val="0"/>
              <w:jc w:val="center"/>
              <w:rPr>
                <w:rFonts w:ascii="宋体" w:hAnsi="宋体" w:cs="宋体"/>
                <w:color w:val="000000"/>
                <w:sz w:val="24"/>
              </w:rPr>
            </w:pPr>
          </w:p>
        </w:tc>
      </w:tr>
      <w:tr w14:paraId="4E408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7" w:hRule="atLeast"/>
        </w:trPr>
        <w:tc>
          <w:tcPr>
            <w:tcW w:w="9436" w:type="dxa"/>
            <w:gridSpan w:val="9"/>
            <w:vMerge w:val="continue"/>
            <w:tcMar>
              <w:top w:w="10" w:type="dxa"/>
              <w:left w:w="10" w:type="dxa"/>
              <w:right w:w="10" w:type="dxa"/>
            </w:tcMar>
            <w:vAlign w:val="center"/>
          </w:tcPr>
          <w:p w14:paraId="67BCBA36">
            <w:pPr>
              <w:overflowPunct w:val="0"/>
              <w:jc w:val="center"/>
              <w:rPr>
                <w:rFonts w:ascii="宋体" w:hAnsi="宋体" w:cs="宋体"/>
                <w:color w:val="000000"/>
                <w:sz w:val="24"/>
              </w:rPr>
            </w:pPr>
          </w:p>
        </w:tc>
      </w:tr>
      <w:tr w14:paraId="6DFBF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exact"/>
        </w:trPr>
        <w:tc>
          <w:tcPr>
            <w:tcW w:w="9436" w:type="dxa"/>
            <w:gridSpan w:val="9"/>
            <w:tcMar>
              <w:top w:w="10" w:type="dxa"/>
              <w:left w:w="10" w:type="dxa"/>
              <w:right w:w="10" w:type="dxa"/>
            </w:tcMar>
            <w:vAlign w:val="center"/>
          </w:tcPr>
          <w:p w14:paraId="1D30A378">
            <w:pPr>
              <w:tabs>
                <w:tab w:val="left" w:pos="3092"/>
                <w:tab w:val="center" w:pos="4768"/>
              </w:tabs>
              <w:overflowPunct w:val="0"/>
              <w:jc w:val="left"/>
              <w:textAlignment w:val="center"/>
              <w:rPr>
                <w:rFonts w:ascii="宋体" w:hAnsi="宋体" w:cs="宋体"/>
                <w:color w:val="000000"/>
                <w:sz w:val="24"/>
              </w:rPr>
            </w:pPr>
            <w:r>
              <w:rPr>
                <w:rFonts w:hint="eastAsia" w:ascii="宋体" w:hAnsi="宋体" w:cs="宋体"/>
                <w:color w:val="000000"/>
                <w:kern w:val="0"/>
                <w:sz w:val="24"/>
              </w:rPr>
              <w:tab/>
            </w:r>
            <w:r>
              <w:rPr>
                <w:rFonts w:hint="eastAsia" w:ascii="宋体" w:hAnsi="宋体" w:cs="宋体"/>
                <w:color w:val="000000"/>
                <w:kern w:val="0"/>
                <w:sz w:val="24"/>
              </w:rPr>
              <w:tab/>
            </w:r>
            <w:r>
              <w:rPr>
                <w:rFonts w:hint="eastAsia" w:ascii="宋体" w:hAnsi="宋体" w:cs="宋体"/>
                <w:color w:val="000000"/>
                <w:kern w:val="0"/>
                <w:sz w:val="24"/>
              </w:rPr>
              <w:t>财政部门审核意见</w:t>
            </w:r>
          </w:p>
        </w:tc>
      </w:tr>
      <w:tr w14:paraId="61CEB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7" w:hRule="exact"/>
        </w:trPr>
        <w:tc>
          <w:tcPr>
            <w:tcW w:w="9436" w:type="dxa"/>
            <w:gridSpan w:val="9"/>
            <w:tcMar>
              <w:top w:w="10" w:type="dxa"/>
              <w:left w:w="10" w:type="dxa"/>
              <w:right w:w="10" w:type="dxa"/>
            </w:tcMar>
            <w:vAlign w:val="bottom"/>
          </w:tcPr>
          <w:p w14:paraId="772B6A60">
            <w:pPr>
              <w:overflowPunct w:val="0"/>
              <w:textAlignment w:val="bottom"/>
              <w:rPr>
                <w:rFonts w:ascii="宋体" w:hAnsi="宋体" w:cs="宋体"/>
                <w:color w:val="000000"/>
                <w:kern w:val="0"/>
                <w:sz w:val="24"/>
              </w:rPr>
            </w:pPr>
          </w:p>
          <w:p w14:paraId="579CE17B">
            <w:pPr>
              <w:overflowPunct w:val="0"/>
              <w:ind w:firstLine="587"/>
              <w:textAlignment w:val="bottom"/>
              <w:rPr>
                <w:rFonts w:ascii="宋体" w:hAnsi="宋体" w:cs="宋体"/>
                <w:color w:val="000000"/>
                <w:kern w:val="0"/>
                <w:sz w:val="24"/>
              </w:rPr>
            </w:pPr>
          </w:p>
          <w:p w14:paraId="38830839">
            <w:pPr>
              <w:overflowPunct w:val="0"/>
              <w:ind w:firstLine="840" w:firstLineChars="350"/>
              <w:textAlignment w:val="bottom"/>
              <w:rPr>
                <w:rFonts w:ascii="宋体" w:hAnsi="宋体" w:cs="宋体"/>
                <w:color w:val="000000"/>
                <w:kern w:val="0"/>
                <w:sz w:val="24"/>
              </w:rPr>
            </w:pPr>
            <w:r>
              <w:rPr>
                <w:rFonts w:hint="eastAsia" w:ascii="宋体" w:hAnsi="宋体" w:cs="宋体"/>
                <w:color w:val="000000"/>
                <w:kern w:val="0"/>
                <w:sz w:val="24"/>
              </w:rPr>
              <w:t>审核：                                日期：</w:t>
            </w:r>
          </w:p>
          <w:p w14:paraId="15DF32B3">
            <w:pPr>
              <w:overflowPunct w:val="0"/>
              <w:ind w:firstLine="587"/>
              <w:textAlignment w:val="bottom"/>
              <w:rPr>
                <w:rFonts w:ascii="宋体" w:hAnsi="宋体" w:cs="宋体"/>
                <w:color w:val="000000"/>
                <w:kern w:val="0"/>
                <w:sz w:val="24"/>
              </w:rPr>
            </w:pPr>
          </w:p>
          <w:p w14:paraId="2EA8B526">
            <w:pPr>
              <w:overflowPunct w:val="0"/>
              <w:ind w:firstLine="587"/>
              <w:textAlignment w:val="bottom"/>
              <w:rPr>
                <w:rFonts w:ascii="宋体" w:hAnsi="宋体" w:cs="宋体"/>
                <w:color w:val="000000"/>
                <w:kern w:val="0"/>
                <w:sz w:val="24"/>
              </w:rPr>
            </w:pPr>
          </w:p>
          <w:p w14:paraId="193A4E85">
            <w:pPr>
              <w:overflowPunct w:val="0"/>
              <w:ind w:firstLine="587"/>
              <w:textAlignment w:val="bottom"/>
              <w:rPr>
                <w:rFonts w:ascii="宋体" w:hAnsi="宋体" w:cs="宋体"/>
                <w:color w:val="000000"/>
                <w:kern w:val="0"/>
                <w:sz w:val="24"/>
              </w:rPr>
            </w:pPr>
          </w:p>
          <w:p w14:paraId="6CE30461">
            <w:pPr>
              <w:overflowPunct w:val="0"/>
              <w:ind w:firstLine="587"/>
              <w:textAlignment w:val="bottom"/>
              <w:rPr>
                <w:rFonts w:ascii="宋体" w:hAnsi="宋体" w:cs="宋体"/>
                <w:color w:val="000000"/>
                <w:kern w:val="0"/>
                <w:sz w:val="24"/>
              </w:rPr>
            </w:pPr>
          </w:p>
          <w:p w14:paraId="5C2BE2B1">
            <w:pPr>
              <w:overflowPunct w:val="0"/>
              <w:ind w:firstLine="587"/>
              <w:textAlignment w:val="bottom"/>
              <w:rPr>
                <w:rFonts w:ascii="宋体" w:hAnsi="宋体" w:cs="宋体"/>
                <w:color w:val="000000"/>
                <w:kern w:val="0"/>
                <w:sz w:val="24"/>
              </w:rPr>
            </w:pPr>
          </w:p>
          <w:p w14:paraId="1AA4780B">
            <w:pPr>
              <w:overflowPunct w:val="0"/>
              <w:ind w:firstLine="480" w:firstLineChars="200"/>
              <w:textAlignment w:val="bottom"/>
              <w:rPr>
                <w:rFonts w:ascii="宋体" w:hAnsi="宋体" w:cs="宋体"/>
                <w:color w:val="000000"/>
                <w:kern w:val="0"/>
                <w:sz w:val="24"/>
              </w:rPr>
            </w:pPr>
          </w:p>
          <w:p w14:paraId="329E0C5F">
            <w:pPr>
              <w:overflowPunct w:val="0"/>
              <w:ind w:firstLine="480" w:firstLineChars="200"/>
              <w:textAlignment w:val="bottom"/>
              <w:rPr>
                <w:rFonts w:ascii="宋体" w:hAnsi="宋体" w:cs="宋体"/>
                <w:color w:val="000000"/>
                <w:kern w:val="0"/>
                <w:sz w:val="24"/>
              </w:rPr>
            </w:pPr>
          </w:p>
          <w:p w14:paraId="744D7233">
            <w:pPr>
              <w:overflowPunct w:val="0"/>
              <w:ind w:firstLine="480" w:firstLineChars="200"/>
              <w:textAlignment w:val="bottom"/>
              <w:rPr>
                <w:rFonts w:ascii="宋体" w:hAnsi="宋体" w:cs="宋体"/>
                <w:color w:val="000000"/>
                <w:kern w:val="0"/>
                <w:sz w:val="24"/>
              </w:rPr>
            </w:pPr>
          </w:p>
          <w:p w14:paraId="5A22F8A0">
            <w:pPr>
              <w:overflowPunct w:val="0"/>
              <w:ind w:firstLine="587"/>
              <w:textAlignment w:val="bottom"/>
              <w:rPr>
                <w:rFonts w:ascii="宋体" w:hAnsi="宋体" w:cs="宋体"/>
                <w:color w:val="000000"/>
                <w:kern w:val="0"/>
                <w:sz w:val="24"/>
              </w:rPr>
            </w:pPr>
          </w:p>
          <w:p w14:paraId="0AA8F3C3">
            <w:pPr>
              <w:overflowPunct w:val="0"/>
              <w:ind w:firstLine="587"/>
              <w:textAlignment w:val="bottom"/>
              <w:rPr>
                <w:rFonts w:ascii="宋体" w:hAnsi="宋体" w:cs="宋体"/>
                <w:color w:val="000000"/>
                <w:kern w:val="0"/>
                <w:sz w:val="24"/>
              </w:rPr>
            </w:pPr>
          </w:p>
          <w:p w14:paraId="0E9C26F5">
            <w:pPr>
              <w:overflowPunct w:val="0"/>
              <w:ind w:firstLine="587"/>
              <w:textAlignment w:val="bottom"/>
              <w:rPr>
                <w:rFonts w:ascii="宋体" w:hAnsi="宋体" w:cs="宋体"/>
                <w:color w:val="000000"/>
                <w:kern w:val="0"/>
                <w:sz w:val="24"/>
              </w:rPr>
            </w:pPr>
          </w:p>
          <w:p w14:paraId="178F3170">
            <w:pPr>
              <w:overflowPunct w:val="0"/>
              <w:ind w:firstLine="587"/>
              <w:textAlignment w:val="bottom"/>
              <w:rPr>
                <w:rFonts w:ascii="宋体" w:hAnsi="宋体" w:cs="宋体"/>
                <w:color w:val="000000"/>
                <w:kern w:val="0"/>
                <w:sz w:val="24"/>
              </w:rPr>
            </w:pPr>
          </w:p>
          <w:p w14:paraId="6B686482">
            <w:pPr>
              <w:overflowPunct w:val="0"/>
              <w:textAlignment w:val="bottom"/>
              <w:rPr>
                <w:rFonts w:ascii="宋体" w:hAnsi="宋体" w:cs="宋体"/>
                <w:color w:val="000000"/>
                <w:kern w:val="0"/>
                <w:sz w:val="24"/>
              </w:rPr>
            </w:pPr>
          </w:p>
          <w:p w14:paraId="1EE4D2BA">
            <w:pPr>
              <w:overflowPunct w:val="0"/>
              <w:textAlignment w:val="bottom"/>
              <w:rPr>
                <w:rFonts w:ascii="宋体" w:hAnsi="宋体" w:cs="宋体"/>
                <w:color w:val="000000"/>
                <w:kern w:val="0"/>
                <w:sz w:val="24"/>
              </w:rPr>
            </w:pPr>
          </w:p>
          <w:p w14:paraId="4B74FB04">
            <w:pPr>
              <w:overflowPunct w:val="0"/>
              <w:ind w:firstLine="480" w:firstLineChars="200"/>
              <w:textAlignment w:val="center"/>
              <w:rPr>
                <w:rFonts w:ascii="宋体" w:hAnsi="宋体" w:cs="宋体"/>
                <w:color w:val="000000"/>
                <w:sz w:val="24"/>
              </w:rPr>
            </w:pPr>
          </w:p>
        </w:tc>
      </w:tr>
      <w:tr w14:paraId="04483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exact"/>
        </w:trPr>
        <w:tc>
          <w:tcPr>
            <w:tcW w:w="9436" w:type="dxa"/>
            <w:gridSpan w:val="9"/>
            <w:tcMar>
              <w:top w:w="10" w:type="dxa"/>
              <w:left w:w="10" w:type="dxa"/>
              <w:right w:w="10" w:type="dxa"/>
            </w:tcMar>
            <w:vAlign w:val="bottom"/>
          </w:tcPr>
          <w:p w14:paraId="51C16B8F">
            <w:pPr>
              <w:overflowPunct w:val="0"/>
              <w:textAlignment w:val="bottom"/>
              <w:rPr>
                <w:rFonts w:ascii="宋体" w:hAnsi="宋体" w:cs="宋体"/>
                <w:color w:val="000000"/>
                <w:kern w:val="0"/>
                <w:sz w:val="24"/>
              </w:rPr>
            </w:pPr>
            <w:r>
              <w:rPr>
                <w:rFonts w:hint="eastAsia" w:ascii="宋体" w:hAnsi="宋体" w:cs="宋体"/>
                <w:color w:val="000000"/>
                <w:kern w:val="0"/>
                <w:sz w:val="24"/>
              </w:rPr>
              <w:t>备注</w:t>
            </w:r>
            <w:r>
              <w:rPr>
                <w:rFonts w:ascii="宋体" w:hAnsi="宋体" w:cs="宋体"/>
                <w:color w:val="000000"/>
                <w:kern w:val="0"/>
                <w:sz w:val="24"/>
              </w:rPr>
              <w:t>：</w:t>
            </w:r>
          </w:p>
        </w:tc>
      </w:tr>
    </w:tbl>
    <w:p w14:paraId="363721DD">
      <w:pPr>
        <w:jc w:val="center"/>
        <w:rPr>
          <w:rFonts w:ascii="方正小标宋简体" w:hAnsi="方正小标宋简体" w:eastAsia="方正小标宋简体" w:cs="方正小标宋简体"/>
          <w:sz w:val="44"/>
          <w:szCs w:val="44"/>
        </w:rPr>
      </w:pPr>
    </w:p>
    <w:p w14:paraId="5F3E4E6B">
      <w:pPr>
        <w:widowControl/>
        <w:spacing w:line="580" w:lineRule="exact"/>
        <w:textAlignment w:val="center"/>
        <w:rPr>
          <w:rFonts w:ascii="仿宋_GB2312" w:hAnsi="仿宋_GB2312" w:eastAsia="仿宋_GB2312" w:cs="仿宋_GB2312"/>
          <w:color w:val="000000"/>
          <w:kern w:val="0"/>
          <w:sz w:val="32"/>
          <w:szCs w:val="30"/>
        </w:rPr>
      </w:pPr>
      <w:r>
        <w:rPr>
          <w:rFonts w:hint="eastAsia" w:ascii="黑体" w:hAnsi="黑体" w:eastAsia="黑体" w:cs="黑体"/>
          <w:color w:val="000000"/>
          <w:kern w:val="0"/>
          <w:sz w:val="32"/>
          <w:szCs w:val="30"/>
        </w:rPr>
        <w:t>附件</w:t>
      </w:r>
      <w:r>
        <w:rPr>
          <w:rFonts w:ascii="黑体" w:hAnsi="黑体" w:eastAsia="黑体" w:cs="黑体"/>
          <w:color w:val="000000"/>
          <w:kern w:val="0"/>
          <w:sz w:val="32"/>
          <w:szCs w:val="30"/>
        </w:rPr>
        <w:t>2</w:t>
      </w:r>
    </w:p>
    <w:p w14:paraId="484A0B0F">
      <w:pPr>
        <w:jc w:val="center"/>
        <w:rPr>
          <w:rFonts w:ascii="方正小标宋简体" w:hAnsi="方正小标宋简体" w:eastAsia="方正小标宋简体" w:cs="方正小标宋简体"/>
          <w:sz w:val="44"/>
          <w:szCs w:val="44"/>
        </w:rPr>
      </w:pPr>
    </w:p>
    <w:p w14:paraId="3C9B9AD9">
      <w:pPr>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甘肃</w:t>
      </w:r>
      <w:r>
        <w:rPr>
          <w:rFonts w:hint="eastAsia" w:ascii="方正小标宋简体" w:hAnsi="方正小标宋简体" w:eastAsia="方正小标宋简体" w:cs="方正小标宋简体"/>
          <w:sz w:val="44"/>
          <w:szCs w:val="44"/>
        </w:rPr>
        <w:t>省政府采购代理机构综合评价规则（202</w:t>
      </w:r>
      <w:r>
        <w:rPr>
          <w:rFonts w:ascii="方正小标宋简体" w:hAnsi="方正小标宋简体" w:eastAsia="方正小标宋简体" w:cs="方正小标宋简体"/>
          <w:sz w:val="44"/>
          <w:szCs w:val="44"/>
        </w:rPr>
        <w:t>5</w:t>
      </w:r>
      <w:r>
        <w:rPr>
          <w:rFonts w:hint="eastAsia" w:ascii="方正小标宋简体" w:hAnsi="方正小标宋简体" w:eastAsia="方正小标宋简体" w:cs="方正小标宋简体"/>
          <w:sz w:val="44"/>
          <w:szCs w:val="44"/>
        </w:rPr>
        <w:t>版）</w:t>
      </w:r>
    </w:p>
    <w:p w14:paraId="38905C5C">
      <w:pPr>
        <w:jc w:val="center"/>
        <w:rPr>
          <w:rFonts w:ascii="方正小标宋简体" w:hAnsi="方正小标宋简体" w:eastAsia="方正小标宋简体" w:cs="方正小标宋简体"/>
          <w:sz w:val="44"/>
          <w:szCs w:val="44"/>
        </w:rPr>
      </w:pPr>
    </w:p>
    <w:p w14:paraId="153413FC">
      <w:pPr>
        <w:spacing w:line="600" w:lineRule="exact"/>
        <w:ind w:firstLine="640" w:firstLineChars="200"/>
        <w:rPr>
          <w:rFonts w:ascii="黑体" w:hAnsi="黑体" w:eastAsia="黑体" w:cs="黑体"/>
          <w:sz w:val="32"/>
          <w:szCs w:val="40"/>
        </w:rPr>
      </w:pPr>
      <w:r>
        <w:rPr>
          <w:rFonts w:hint="eastAsia" w:ascii="黑体" w:hAnsi="黑体" w:eastAsia="黑体" w:cs="黑体"/>
          <w:sz w:val="32"/>
          <w:szCs w:val="40"/>
        </w:rPr>
        <w:t>一、综合评价内容及具体规则</w:t>
      </w:r>
    </w:p>
    <w:p w14:paraId="09EF66DE">
      <w:pPr>
        <w:spacing w:line="600" w:lineRule="exact"/>
        <w:ind w:firstLine="640" w:firstLineChars="200"/>
        <w:rPr>
          <w:rFonts w:ascii="仿宋" w:eastAsia="仿宋" w:cs="仿宋"/>
          <w:sz w:val="32"/>
          <w:szCs w:val="40"/>
        </w:rPr>
      </w:pPr>
      <w:r>
        <w:rPr>
          <w:rFonts w:hint="eastAsia" w:ascii="仿宋" w:eastAsia="仿宋" w:cs="仿宋"/>
          <w:sz w:val="32"/>
          <w:szCs w:val="40"/>
        </w:rPr>
        <w:t>综合评价是对代理机构从事政府采购代理</w:t>
      </w:r>
      <w:r>
        <w:rPr>
          <w:rFonts w:ascii="仿宋" w:eastAsia="仿宋" w:cs="仿宋"/>
          <w:sz w:val="32"/>
          <w:szCs w:val="40"/>
        </w:rPr>
        <w:t>活动</w:t>
      </w:r>
      <w:r>
        <w:rPr>
          <w:rFonts w:hint="eastAsia" w:ascii="仿宋" w:eastAsia="仿宋" w:cs="仿宋"/>
          <w:sz w:val="32"/>
          <w:szCs w:val="40"/>
        </w:rPr>
        <w:t>的主要能力的客观反映。包括诚信评价、业绩评价、专业知识评价、企业基本情况及附加分五个部分，并嵌入政府采购网上信息公开系统，对代理机构实行动态评价和管理。</w:t>
      </w:r>
    </w:p>
    <w:p w14:paraId="404A0E97">
      <w:pPr>
        <w:spacing w:line="600" w:lineRule="exact"/>
        <w:ind w:firstLine="643" w:firstLineChars="200"/>
        <w:rPr>
          <w:rFonts w:ascii="仿宋" w:eastAsia="仿宋" w:cs="仿宋"/>
          <w:b/>
          <w:bCs/>
          <w:sz w:val="32"/>
          <w:szCs w:val="40"/>
        </w:rPr>
      </w:pPr>
      <w:r>
        <w:rPr>
          <w:rFonts w:hint="eastAsia" w:ascii="仿宋" w:eastAsia="仿宋" w:cs="仿宋"/>
          <w:b/>
          <w:bCs/>
          <w:sz w:val="32"/>
          <w:szCs w:val="40"/>
        </w:rPr>
        <w:t>（一）诚信评价</w:t>
      </w:r>
    </w:p>
    <w:p w14:paraId="741E9CAE">
      <w:pPr>
        <w:spacing w:line="600" w:lineRule="exact"/>
        <w:ind w:firstLine="640" w:firstLineChars="200"/>
        <w:rPr>
          <w:rFonts w:ascii="仿宋" w:eastAsia="仿宋" w:cs="仿宋"/>
          <w:sz w:val="32"/>
          <w:szCs w:val="40"/>
        </w:rPr>
      </w:pPr>
      <w:r>
        <w:rPr>
          <w:rFonts w:hint="eastAsia" w:ascii="仿宋" w:eastAsia="仿宋" w:cs="仿宋"/>
          <w:sz w:val="32"/>
          <w:szCs w:val="40"/>
        </w:rPr>
        <w:t>诚信评价是综合评价规则的核心和基础，包括执业及信用信息的采集、管理、评价、披露与奖惩等制度。诚信评价实行扣分制，即系统根据代理机构的失信行为类别，按评价规则进行扣分，具体规则如下：</w:t>
      </w:r>
    </w:p>
    <w:p w14:paraId="556DB9A5">
      <w:pPr>
        <w:spacing w:line="600" w:lineRule="exact"/>
        <w:ind w:firstLine="640" w:firstLineChars="200"/>
        <w:rPr>
          <w:rFonts w:ascii="仿宋" w:eastAsia="仿宋" w:cs="仿宋"/>
          <w:sz w:val="32"/>
          <w:szCs w:val="40"/>
        </w:rPr>
      </w:pPr>
      <w:r>
        <w:rPr>
          <w:rFonts w:hint="eastAsia" w:ascii="仿宋" w:eastAsia="仿宋" w:cs="仿宋"/>
          <w:sz w:val="32"/>
          <w:szCs w:val="40"/>
        </w:rPr>
        <w:t>1.所有代理机构的诚信评价基础分均为50分。</w:t>
      </w:r>
    </w:p>
    <w:p w14:paraId="6D77C149">
      <w:pPr>
        <w:spacing w:line="600" w:lineRule="exact"/>
        <w:ind w:firstLine="640" w:firstLineChars="200"/>
        <w:rPr>
          <w:rFonts w:ascii="仿宋" w:eastAsia="仿宋" w:cs="仿宋"/>
          <w:sz w:val="32"/>
          <w:szCs w:val="40"/>
        </w:rPr>
      </w:pPr>
      <w:r>
        <w:rPr>
          <w:rFonts w:hint="eastAsia" w:ascii="仿宋" w:eastAsia="仿宋" w:cs="仿宋"/>
          <w:sz w:val="32"/>
          <w:szCs w:val="40"/>
        </w:rPr>
        <w:t>2.对应行政裁决责令整改的情形，诚信分扣10分，期限3个月；对应行政处罚的情形，诚信分扣15分，期限6个月，到期所扣分值自动返还。</w:t>
      </w:r>
    </w:p>
    <w:p w14:paraId="263EFF43">
      <w:pPr>
        <w:spacing w:line="600" w:lineRule="exact"/>
        <w:ind w:firstLine="640" w:firstLineChars="200"/>
        <w:rPr>
          <w:rFonts w:ascii="仿宋" w:eastAsia="仿宋" w:cs="仿宋"/>
          <w:sz w:val="32"/>
          <w:szCs w:val="40"/>
        </w:rPr>
      </w:pPr>
      <w:r>
        <w:rPr>
          <w:rFonts w:hint="eastAsia" w:ascii="仿宋" w:eastAsia="仿宋" w:cs="仿宋"/>
          <w:sz w:val="32"/>
          <w:szCs w:val="40"/>
        </w:rPr>
        <w:t>3</w:t>
      </w:r>
      <w:r>
        <w:rPr>
          <w:rFonts w:ascii="仿宋" w:eastAsia="仿宋" w:cs="仿宋"/>
          <w:sz w:val="32"/>
          <w:szCs w:val="40"/>
        </w:rPr>
        <w:t>.责令整改情形中</w:t>
      </w:r>
      <w:r>
        <w:rPr>
          <w:rFonts w:hint="eastAsia" w:ascii="仿宋" w:eastAsia="仿宋" w:cs="仿宋"/>
          <w:sz w:val="32"/>
          <w:szCs w:val="40"/>
        </w:rPr>
        <w:t>有证据证明没有主观过错的初次违法且危害后果轻微并及时改正的，可免于诚信扣分，每年度一次。</w:t>
      </w:r>
    </w:p>
    <w:p w14:paraId="59D37CFD">
      <w:pPr>
        <w:spacing w:line="600" w:lineRule="exact"/>
        <w:ind w:firstLine="640" w:firstLineChars="200"/>
        <w:rPr>
          <w:rFonts w:ascii="仿宋" w:eastAsia="仿宋" w:cs="仿宋"/>
          <w:sz w:val="32"/>
          <w:szCs w:val="40"/>
        </w:rPr>
      </w:pPr>
      <w:r>
        <w:rPr>
          <w:rFonts w:ascii="仿宋" w:eastAsia="仿宋" w:cs="仿宋"/>
          <w:sz w:val="32"/>
          <w:szCs w:val="40"/>
        </w:rPr>
        <w:t>4</w:t>
      </w:r>
      <w:r>
        <w:rPr>
          <w:rFonts w:hint="eastAsia" w:ascii="仿宋" w:eastAsia="仿宋" w:cs="仿宋"/>
          <w:sz w:val="32"/>
          <w:szCs w:val="40"/>
        </w:rPr>
        <w:t>.每项诚信扣分期限单独计算，并累计。</w:t>
      </w:r>
    </w:p>
    <w:p w14:paraId="216ED2F9">
      <w:pPr>
        <w:spacing w:line="600" w:lineRule="exact"/>
        <w:ind w:firstLine="640" w:firstLineChars="200"/>
        <w:rPr>
          <w:rFonts w:ascii="仿宋" w:eastAsia="仿宋" w:cs="仿宋"/>
          <w:sz w:val="32"/>
          <w:szCs w:val="40"/>
        </w:rPr>
      </w:pPr>
      <w:r>
        <w:rPr>
          <w:rFonts w:ascii="仿宋" w:eastAsia="仿宋" w:cs="仿宋"/>
          <w:sz w:val="32"/>
          <w:szCs w:val="40"/>
        </w:rPr>
        <w:t>5</w:t>
      </w:r>
      <w:r>
        <w:rPr>
          <w:rFonts w:hint="eastAsia" w:ascii="仿宋" w:eastAsia="仿宋" w:cs="仿宋"/>
          <w:sz w:val="32"/>
          <w:szCs w:val="40"/>
        </w:rPr>
        <w:t>.在诚信扣分期限内再次出现诚信扣分情况，所扣分值翻倍。</w:t>
      </w:r>
    </w:p>
    <w:p w14:paraId="33A064DD">
      <w:pPr>
        <w:spacing w:line="600" w:lineRule="exact"/>
        <w:ind w:firstLine="640" w:firstLineChars="200"/>
        <w:rPr>
          <w:rFonts w:ascii="仿宋" w:eastAsia="仿宋" w:cs="仿宋"/>
          <w:sz w:val="32"/>
          <w:szCs w:val="40"/>
        </w:rPr>
      </w:pPr>
      <w:r>
        <w:rPr>
          <w:rFonts w:ascii="仿宋" w:eastAsia="仿宋" w:cs="仿宋"/>
          <w:sz w:val="32"/>
          <w:szCs w:val="40"/>
        </w:rPr>
        <w:t>6</w:t>
      </w:r>
      <w:r>
        <w:rPr>
          <w:rFonts w:hint="eastAsia" w:ascii="仿宋" w:eastAsia="仿宋" w:cs="仿宋"/>
          <w:sz w:val="32"/>
          <w:szCs w:val="40"/>
        </w:rPr>
        <w:t>. 当诚信评价扣分达到15分时，系统对该代理机构标注为“一般失信企业”；当诚信评价扣分达到或超过30分时，系统对该代理机构标注为“严重失信企业”。</w:t>
      </w:r>
    </w:p>
    <w:p w14:paraId="2B4A33ED">
      <w:pPr>
        <w:spacing w:line="600" w:lineRule="exact"/>
        <w:ind w:firstLine="640" w:firstLineChars="200"/>
        <w:rPr>
          <w:rFonts w:ascii="仿宋" w:eastAsia="仿宋" w:cs="仿宋"/>
          <w:sz w:val="32"/>
          <w:szCs w:val="40"/>
        </w:rPr>
      </w:pPr>
      <w:r>
        <w:rPr>
          <w:rFonts w:ascii="仿宋" w:eastAsia="仿宋" w:cs="仿宋"/>
          <w:sz w:val="32"/>
          <w:szCs w:val="40"/>
        </w:rPr>
        <w:t>7</w:t>
      </w:r>
      <w:r>
        <w:rPr>
          <w:rFonts w:hint="eastAsia" w:ascii="仿宋" w:eastAsia="仿宋" w:cs="仿宋"/>
          <w:sz w:val="32"/>
          <w:szCs w:val="40"/>
        </w:rPr>
        <w:t>.诚信扣分以各级政府采购监管部门在系统内填报的诚信电子处罚单为准，并同步转给被扣分的代理机构。</w:t>
      </w:r>
    </w:p>
    <w:p w14:paraId="58B6C311">
      <w:pPr>
        <w:spacing w:line="600" w:lineRule="exact"/>
        <w:ind w:firstLine="643" w:firstLineChars="200"/>
        <w:rPr>
          <w:rFonts w:ascii="仿宋" w:eastAsia="仿宋" w:cs="仿宋"/>
          <w:b/>
          <w:bCs/>
          <w:sz w:val="32"/>
          <w:szCs w:val="40"/>
        </w:rPr>
      </w:pPr>
      <w:r>
        <w:rPr>
          <w:rFonts w:hint="eastAsia" w:ascii="仿宋" w:eastAsia="仿宋" w:cs="仿宋"/>
          <w:b/>
          <w:bCs/>
          <w:sz w:val="32"/>
          <w:szCs w:val="40"/>
        </w:rPr>
        <w:t>（二）业绩评价</w:t>
      </w:r>
    </w:p>
    <w:p w14:paraId="76665750">
      <w:pPr>
        <w:spacing w:line="600" w:lineRule="exact"/>
        <w:ind w:firstLine="640" w:firstLineChars="200"/>
        <w:rPr>
          <w:rFonts w:ascii="仿宋" w:eastAsia="仿宋" w:cs="仿宋"/>
          <w:sz w:val="32"/>
          <w:szCs w:val="40"/>
        </w:rPr>
      </w:pPr>
      <w:r>
        <w:rPr>
          <w:rFonts w:hint="eastAsia" w:ascii="仿宋" w:eastAsia="仿宋" w:cs="仿宋"/>
          <w:sz w:val="32"/>
          <w:szCs w:val="40"/>
        </w:rPr>
        <w:t>业绩评价是对代理机构承接并按规定完成代理政府采购项目进行的客观评价，是评价代理机构执业能力的指标。系统根据代理机构承接完成代理政府采购项目的数量，按规定的得分标准计算业绩分，此项分值满分为25分。规则如下：</w:t>
      </w:r>
    </w:p>
    <w:p w14:paraId="4F3086BB">
      <w:pPr>
        <w:spacing w:line="600" w:lineRule="exact"/>
        <w:ind w:firstLine="640" w:firstLineChars="200"/>
        <w:rPr>
          <w:rFonts w:ascii="仿宋" w:eastAsia="仿宋" w:cs="仿宋"/>
          <w:sz w:val="32"/>
          <w:szCs w:val="40"/>
        </w:rPr>
      </w:pPr>
      <w:r>
        <w:rPr>
          <w:rFonts w:hint="eastAsia" w:ascii="仿宋" w:eastAsia="仿宋" w:cs="仿宋"/>
          <w:sz w:val="32"/>
          <w:szCs w:val="40"/>
        </w:rPr>
        <w:t>1.所有代理机构的业绩评价分值均从0开始累计。</w:t>
      </w:r>
    </w:p>
    <w:p w14:paraId="13AD98B7">
      <w:pPr>
        <w:spacing w:line="600" w:lineRule="exact"/>
        <w:ind w:firstLine="640" w:firstLineChars="200"/>
        <w:rPr>
          <w:rFonts w:ascii="仿宋" w:eastAsia="仿宋" w:cs="仿宋"/>
          <w:sz w:val="32"/>
          <w:szCs w:val="40"/>
        </w:rPr>
      </w:pPr>
      <w:r>
        <w:rPr>
          <w:rFonts w:hint="eastAsia" w:ascii="仿宋" w:eastAsia="仿宋" w:cs="仿宋"/>
          <w:sz w:val="32"/>
          <w:szCs w:val="40"/>
        </w:rPr>
        <w:t>2.每年1月1日至12月31日期间，没有承接代理政府采购项目的扣10分（当年7月1日之后备案的代理机构除外），业绩评价分达到-20分的，系统将自动暂停代理机构系统账号操作权限。</w:t>
      </w:r>
    </w:p>
    <w:p w14:paraId="05C863B9">
      <w:pPr>
        <w:spacing w:line="600" w:lineRule="exact"/>
        <w:ind w:firstLine="640" w:firstLineChars="200"/>
        <w:rPr>
          <w:rFonts w:ascii="仿宋" w:eastAsia="仿宋" w:cs="仿宋"/>
          <w:sz w:val="32"/>
          <w:szCs w:val="40"/>
        </w:rPr>
      </w:pPr>
      <w:r>
        <w:rPr>
          <w:rFonts w:hint="eastAsia" w:ascii="仿宋" w:eastAsia="仿宋" w:cs="仿宋"/>
          <w:sz w:val="32"/>
          <w:szCs w:val="40"/>
        </w:rPr>
        <w:t>3.每年1月1日至12月31日期间，承接代理1～5个政府采购项目的不扣分也不加分；完成超过5个的，每多完成1个项目加业绩分0.2分。</w:t>
      </w:r>
    </w:p>
    <w:p w14:paraId="73A66F5E">
      <w:pPr>
        <w:spacing w:line="600" w:lineRule="exact"/>
        <w:ind w:firstLine="640" w:firstLineChars="200"/>
        <w:rPr>
          <w:rFonts w:ascii="仿宋" w:eastAsia="仿宋" w:cs="仿宋"/>
          <w:sz w:val="32"/>
          <w:szCs w:val="40"/>
        </w:rPr>
      </w:pPr>
      <w:r>
        <w:rPr>
          <w:rFonts w:hint="eastAsia" w:ascii="仿宋" w:eastAsia="仿宋" w:cs="仿宋"/>
          <w:sz w:val="32"/>
          <w:szCs w:val="40"/>
        </w:rPr>
        <w:t>4.每个项目在完成合同签订且质疑、投诉有效期过后计入业绩分。</w:t>
      </w:r>
    </w:p>
    <w:p w14:paraId="530B6E12">
      <w:pPr>
        <w:spacing w:line="600" w:lineRule="exact"/>
        <w:ind w:firstLine="640" w:firstLineChars="200"/>
        <w:rPr>
          <w:rFonts w:ascii="仿宋" w:eastAsia="仿宋" w:cs="仿宋"/>
          <w:sz w:val="32"/>
          <w:szCs w:val="40"/>
        </w:rPr>
      </w:pPr>
      <w:r>
        <w:rPr>
          <w:rFonts w:hint="eastAsia" w:ascii="仿宋" w:eastAsia="仿宋" w:cs="仿宋"/>
          <w:sz w:val="32"/>
          <w:szCs w:val="40"/>
        </w:rPr>
        <w:t>5.完成代理并纳入当年度业绩分的政府采购项目须满足下列条件：</w:t>
      </w:r>
    </w:p>
    <w:p w14:paraId="788A8B5E">
      <w:pPr>
        <w:spacing w:line="600" w:lineRule="exact"/>
        <w:ind w:firstLine="640" w:firstLineChars="200"/>
        <w:rPr>
          <w:rFonts w:ascii="仿宋" w:eastAsia="仿宋" w:cs="仿宋"/>
          <w:sz w:val="32"/>
          <w:szCs w:val="40"/>
        </w:rPr>
      </w:pPr>
      <w:r>
        <w:rPr>
          <w:rFonts w:hint="eastAsia" w:ascii="仿宋" w:eastAsia="仿宋" w:cs="仿宋"/>
          <w:sz w:val="32"/>
          <w:szCs w:val="40"/>
        </w:rPr>
        <w:t>（1）从接受采购人委托起至项目完成合同签订且在法律规定时间内未发生因代理机构方责任导致投诉或监督检查事项成立的。</w:t>
      </w:r>
    </w:p>
    <w:p w14:paraId="76118563">
      <w:pPr>
        <w:spacing w:line="600" w:lineRule="exact"/>
        <w:ind w:firstLine="640" w:firstLineChars="200"/>
        <w:rPr>
          <w:rFonts w:ascii="仿宋" w:eastAsia="仿宋" w:cs="仿宋"/>
          <w:sz w:val="32"/>
          <w:szCs w:val="40"/>
        </w:rPr>
      </w:pPr>
      <w:r>
        <w:rPr>
          <w:rFonts w:hint="eastAsia" w:ascii="仿宋" w:eastAsia="仿宋" w:cs="仿宋"/>
          <w:sz w:val="32"/>
          <w:szCs w:val="40"/>
        </w:rPr>
        <w:t>（2）项目采购人和评审专家对代理机构线上评价平均分达到基本满意以上。（线上评价为百分制，区分四个等级：90分及以上为很满意、70-89分为基本满意、60-69分为一般、60分以下为较差，相关人员应在项目办结后5个工作日内完成评价，逾期未评价的默认为基本满意）</w:t>
      </w:r>
    </w:p>
    <w:p w14:paraId="19372B11">
      <w:pPr>
        <w:spacing w:line="600" w:lineRule="exact"/>
        <w:ind w:firstLine="640" w:firstLineChars="200"/>
        <w:rPr>
          <w:rFonts w:ascii="仿宋" w:eastAsia="仿宋" w:cs="仿宋"/>
          <w:sz w:val="32"/>
          <w:szCs w:val="40"/>
        </w:rPr>
      </w:pPr>
      <w:r>
        <w:rPr>
          <w:rFonts w:hint="eastAsia" w:ascii="仿宋" w:eastAsia="仿宋" w:cs="仿宋"/>
          <w:sz w:val="32"/>
          <w:szCs w:val="40"/>
        </w:rPr>
        <w:t>（3）代理的政府采购项目程序规范，各类公告发布及保证金管理情况符合要求、项目资料整理齐全。</w:t>
      </w:r>
    </w:p>
    <w:p w14:paraId="747BE7A4">
      <w:pPr>
        <w:spacing w:line="600" w:lineRule="exact"/>
        <w:ind w:firstLine="640" w:firstLineChars="200"/>
        <w:rPr>
          <w:rFonts w:ascii="仿宋" w:eastAsia="仿宋" w:cs="仿宋"/>
          <w:sz w:val="32"/>
          <w:szCs w:val="40"/>
        </w:rPr>
      </w:pPr>
      <w:r>
        <w:rPr>
          <w:rFonts w:hint="eastAsia" w:ascii="仿宋" w:eastAsia="仿宋" w:cs="仿宋"/>
          <w:sz w:val="32"/>
          <w:szCs w:val="40"/>
        </w:rPr>
        <w:t>（4）在接入远程音视频监管平台的场所内组织采购活动。</w:t>
      </w:r>
    </w:p>
    <w:p w14:paraId="50726ED2">
      <w:pPr>
        <w:spacing w:line="600" w:lineRule="exact"/>
        <w:ind w:firstLine="640" w:firstLineChars="200"/>
        <w:rPr>
          <w:rFonts w:ascii="仿宋" w:eastAsia="仿宋" w:cs="仿宋"/>
          <w:sz w:val="32"/>
          <w:szCs w:val="40"/>
        </w:rPr>
      </w:pPr>
      <w:r>
        <w:rPr>
          <w:rFonts w:hint="eastAsia" w:ascii="仿宋" w:eastAsia="仿宋" w:cs="仿宋"/>
          <w:sz w:val="32"/>
          <w:szCs w:val="40"/>
        </w:rPr>
        <w:t>6.每个自然年度内完成的项目数量以项目结束时间为准；次年度1月1日起重新计算项目数。</w:t>
      </w:r>
    </w:p>
    <w:p w14:paraId="51124C06">
      <w:pPr>
        <w:spacing w:line="600" w:lineRule="exact"/>
        <w:ind w:firstLine="640" w:firstLineChars="200"/>
        <w:rPr>
          <w:rFonts w:ascii="仿宋" w:eastAsia="仿宋" w:cs="仿宋"/>
          <w:sz w:val="32"/>
          <w:szCs w:val="40"/>
        </w:rPr>
      </w:pPr>
      <w:r>
        <w:rPr>
          <w:rFonts w:hint="eastAsia" w:ascii="仿宋" w:eastAsia="仿宋" w:cs="仿宋"/>
          <w:sz w:val="32"/>
          <w:szCs w:val="40"/>
        </w:rPr>
        <w:t>7.因采购人、代理机构责任导致质疑成立的并与代理机构有关的，该代理项目业绩不得分。</w:t>
      </w:r>
    </w:p>
    <w:p w14:paraId="45FB64EF">
      <w:pPr>
        <w:spacing w:line="600" w:lineRule="exact"/>
        <w:ind w:firstLine="640" w:firstLineChars="200"/>
        <w:rPr>
          <w:rFonts w:ascii="仿宋" w:eastAsia="仿宋" w:cs="仿宋"/>
          <w:sz w:val="32"/>
          <w:szCs w:val="40"/>
        </w:rPr>
      </w:pPr>
      <w:r>
        <w:rPr>
          <w:rFonts w:hint="eastAsia" w:ascii="仿宋" w:eastAsia="仿宋" w:cs="仿宋"/>
          <w:sz w:val="32"/>
          <w:szCs w:val="40"/>
        </w:rPr>
        <w:t>8.诚信分被扣1</w:t>
      </w:r>
      <w:r>
        <w:rPr>
          <w:rFonts w:ascii="仿宋" w:eastAsia="仿宋" w:cs="仿宋"/>
          <w:sz w:val="32"/>
          <w:szCs w:val="40"/>
        </w:rPr>
        <w:t>5</w:t>
      </w:r>
      <w:r>
        <w:rPr>
          <w:rFonts w:hint="eastAsia" w:ascii="仿宋" w:eastAsia="仿宋" w:cs="仿宋"/>
          <w:sz w:val="32"/>
          <w:szCs w:val="40"/>
        </w:rPr>
        <w:t>分时，同时扣当前业绩分值的一半；诚信分被扣</w:t>
      </w:r>
      <w:r>
        <w:rPr>
          <w:rFonts w:ascii="仿宋" w:eastAsia="仿宋" w:cs="仿宋"/>
          <w:sz w:val="32"/>
          <w:szCs w:val="40"/>
        </w:rPr>
        <w:t>30</w:t>
      </w:r>
      <w:r>
        <w:rPr>
          <w:rFonts w:hint="eastAsia" w:ascii="仿宋" w:eastAsia="仿宋" w:cs="仿宋"/>
          <w:sz w:val="32"/>
          <w:szCs w:val="40"/>
        </w:rPr>
        <w:t>分及以上的，业绩分值清零。</w:t>
      </w:r>
    </w:p>
    <w:p w14:paraId="585C0E19">
      <w:pPr>
        <w:spacing w:line="600" w:lineRule="exact"/>
        <w:ind w:firstLine="640" w:firstLineChars="200"/>
        <w:rPr>
          <w:rFonts w:ascii="仿宋" w:eastAsia="仿宋" w:cs="仿宋"/>
          <w:sz w:val="32"/>
          <w:szCs w:val="40"/>
        </w:rPr>
      </w:pPr>
      <w:r>
        <w:rPr>
          <w:rFonts w:hint="eastAsia" w:ascii="仿宋" w:eastAsia="仿宋" w:cs="仿宋"/>
          <w:sz w:val="32"/>
          <w:szCs w:val="40"/>
        </w:rPr>
        <w:t>9.代理机构在诚信失分期间，业绩分值不增加。</w:t>
      </w:r>
    </w:p>
    <w:p w14:paraId="5E95B6C9">
      <w:pPr>
        <w:spacing w:line="600" w:lineRule="exact"/>
        <w:ind w:firstLine="640" w:firstLineChars="200"/>
        <w:rPr>
          <w:rFonts w:ascii="仿宋" w:eastAsia="仿宋" w:cs="仿宋"/>
          <w:sz w:val="32"/>
          <w:szCs w:val="40"/>
        </w:rPr>
      </w:pPr>
      <w:r>
        <w:rPr>
          <w:rFonts w:hint="eastAsia" w:ascii="仿宋" w:eastAsia="仿宋" w:cs="仿宋"/>
          <w:sz w:val="32"/>
          <w:szCs w:val="40"/>
        </w:rPr>
        <w:t>10.当代理机构业绩评价分为负数时，每承接完成1个政府采购项目的加业绩分2分，直至业绩评价分归0。</w:t>
      </w:r>
    </w:p>
    <w:p w14:paraId="309237D4">
      <w:pPr>
        <w:spacing w:line="600" w:lineRule="exact"/>
        <w:ind w:firstLine="643" w:firstLineChars="200"/>
        <w:rPr>
          <w:rFonts w:ascii="仿宋" w:eastAsia="仿宋" w:cs="仿宋"/>
          <w:b/>
          <w:bCs/>
          <w:sz w:val="32"/>
          <w:szCs w:val="40"/>
        </w:rPr>
      </w:pPr>
      <w:r>
        <w:rPr>
          <w:rFonts w:hint="eastAsia" w:ascii="仿宋" w:eastAsia="仿宋" w:cs="仿宋"/>
          <w:b/>
          <w:bCs/>
          <w:sz w:val="32"/>
          <w:szCs w:val="40"/>
        </w:rPr>
        <w:t>（三）专业知识评价</w:t>
      </w:r>
    </w:p>
    <w:p w14:paraId="74748EB0">
      <w:pPr>
        <w:spacing w:line="600" w:lineRule="exact"/>
        <w:ind w:firstLine="640" w:firstLineChars="200"/>
        <w:rPr>
          <w:rFonts w:ascii="仿宋" w:eastAsia="仿宋" w:cs="仿宋"/>
          <w:sz w:val="32"/>
          <w:szCs w:val="40"/>
        </w:rPr>
      </w:pPr>
      <w:r>
        <w:rPr>
          <w:rFonts w:hint="eastAsia" w:ascii="仿宋" w:eastAsia="仿宋" w:cs="仿宋"/>
          <w:sz w:val="32"/>
          <w:szCs w:val="40"/>
        </w:rPr>
        <w:t>专业知识评价是对代理机构专职从业人员熟悉政府采购法律法规</w:t>
      </w:r>
      <w:r>
        <w:rPr>
          <w:rFonts w:ascii="仿宋" w:eastAsia="仿宋" w:cs="仿宋"/>
          <w:sz w:val="32"/>
          <w:szCs w:val="40"/>
        </w:rPr>
        <w:t>政策</w:t>
      </w:r>
      <w:r>
        <w:rPr>
          <w:rFonts w:hint="eastAsia" w:ascii="仿宋" w:eastAsia="仿宋" w:cs="仿宋"/>
          <w:sz w:val="32"/>
          <w:szCs w:val="40"/>
        </w:rPr>
        <w:t>的程度和业务知识水平的评价，满分2</w:t>
      </w:r>
      <w:r>
        <w:rPr>
          <w:rFonts w:ascii="仿宋" w:eastAsia="仿宋" w:cs="仿宋"/>
          <w:sz w:val="32"/>
          <w:szCs w:val="40"/>
        </w:rPr>
        <w:t>0</w:t>
      </w:r>
      <w:r>
        <w:rPr>
          <w:rFonts w:hint="eastAsia" w:ascii="仿宋" w:eastAsia="仿宋" w:cs="仿宋"/>
          <w:sz w:val="32"/>
          <w:szCs w:val="40"/>
        </w:rPr>
        <w:t>分，每年普法测试结束后15日内更新分值。规则如下：</w:t>
      </w:r>
    </w:p>
    <w:p w14:paraId="3692EB80">
      <w:pPr>
        <w:spacing w:line="600" w:lineRule="exact"/>
        <w:ind w:firstLine="640" w:firstLineChars="200"/>
        <w:rPr>
          <w:rFonts w:ascii="仿宋" w:eastAsia="仿宋" w:cs="仿宋"/>
          <w:sz w:val="32"/>
          <w:szCs w:val="40"/>
        </w:rPr>
      </w:pPr>
      <w:r>
        <w:rPr>
          <w:rFonts w:hint="eastAsia" w:ascii="仿宋" w:eastAsia="仿宋" w:cs="仿宋"/>
          <w:sz w:val="32"/>
          <w:szCs w:val="40"/>
        </w:rPr>
        <w:t>1.采取线上测试方式，每年1次，测试时间为每年4月1日至20日。</w:t>
      </w:r>
    </w:p>
    <w:p w14:paraId="3D616731">
      <w:pPr>
        <w:spacing w:line="600" w:lineRule="exact"/>
        <w:ind w:firstLine="640" w:firstLineChars="200"/>
        <w:rPr>
          <w:rFonts w:ascii="仿宋" w:eastAsia="仿宋" w:cs="仿宋"/>
          <w:sz w:val="32"/>
          <w:szCs w:val="40"/>
        </w:rPr>
      </w:pPr>
      <w:r>
        <w:rPr>
          <w:rFonts w:hint="eastAsia" w:ascii="仿宋" w:eastAsia="仿宋" w:cs="仿宋"/>
          <w:sz w:val="32"/>
          <w:szCs w:val="40"/>
        </w:rPr>
        <w:t>2.代理机构备案入库的专职人员不得少于5人，同时以上一年度代理机构（含分支机构）完成代理政府采购项目数量为基数，少于或等于</w:t>
      </w:r>
      <w:r>
        <w:rPr>
          <w:rFonts w:ascii="仿宋" w:eastAsia="仿宋" w:cs="仿宋"/>
          <w:sz w:val="32"/>
          <w:szCs w:val="40"/>
        </w:rPr>
        <w:t>1</w:t>
      </w:r>
      <w:r>
        <w:rPr>
          <w:rFonts w:hint="eastAsia" w:ascii="仿宋" w:eastAsia="仿宋" w:cs="仿宋"/>
          <w:sz w:val="32"/>
          <w:szCs w:val="40"/>
        </w:rPr>
        <w:t>00个的，参加测试的最少人数为5人；之后以每</w:t>
      </w:r>
      <w:r>
        <w:rPr>
          <w:rFonts w:ascii="仿宋" w:eastAsia="仿宋" w:cs="仿宋"/>
          <w:sz w:val="32"/>
          <w:szCs w:val="40"/>
        </w:rPr>
        <w:t>2</w:t>
      </w:r>
      <w:r>
        <w:rPr>
          <w:rFonts w:hint="eastAsia" w:ascii="仿宋" w:eastAsia="仿宋" w:cs="仿宋"/>
          <w:sz w:val="32"/>
          <w:szCs w:val="40"/>
        </w:rPr>
        <w:t>0个政府采购项目为一个等级，每跨入一个等级，参加测试的人数增加1人。</w:t>
      </w:r>
    </w:p>
    <w:p w14:paraId="5CC08689">
      <w:pPr>
        <w:spacing w:line="600" w:lineRule="exact"/>
        <w:ind w:firstLine="640" w:firstLineChars="200"/>
        <w:rPr>
          <w:rFonts w:ascii="仿宋" w:eastAsia="仿宋" w:cs="仿宋"/>
          <w:sz w:val="32"/>
          <w:szCs w:val="40"/>
        </w:rPr>
      </w:pPr>
      <w:r>
        <w:rPr>
          <w:rFonts w:hint="eastAsia" w:ascii="仿宋" w:eastAsia="仿宋" w:cs="仿宋"/>
          <w:sz w:val="32"/>
          <w:szCs w:val="40"/>
        </w:rPr>
        <w:t>3.代理机构参加线上测试的专职人员数量应当不小于所有备案专职人员数量（以每年1月1日系统中的数据为准）的70%（有余数时向上取整），且不小于代理机构专职人员参加测试的最少人数。每年1月份会在省级政府采购门户网站上公布当年度代理机构专职人员应参加测试的人数和最少人数。</w:t>
      </w:r>
    </w:p>
    <w:p w14:paraId="60F61766">
      <w:pPr>
        <w:spacing w:line="600" w:lineRule="exact"/>
        <w:ind w:firstLine="640" w:firstLineChars="200"/>
        <w:rPr>
          <w:rFonts w:ascii="仿宋" w:eastAsia="仿宋" w:cs="仿宋"/>
          <w:sz w:val="32"/>
          <w:szCs w:val="40"/>
        </w:rPr>
      </w:pPr>
      <w:r>
        <w:rPr>
          <w:rFonts w:hint="eastAsia" w:ascii="仿宋" w:eastAsia="仿宋" w:cs="仿宋"/>
          <w:sz w:val="32"/>
          <w:szCs w:val="40"/>
        </w:rPr>
        <w:t>4.代理机构所有参考人员成绩系统自动排名，取成绩最高的</w:t>
      </w:r>
      <w:r>
        <w:rPr>
          <w:rFonts w:ascii="仿宋" w:eastAsia="仿宋" w:cs="仿宋"/>
          <w:sz w:val="32"/>
          <w:szCs w:val="40"/>
        </w:rPr>
        <w:t>X名人员</w:t>
      </w:r>
      <w:r>
        <w:rPr>
          <w:rFonts w:hint="eastAsia" w:ascii="仿宋" w:eastAsia="仿宋" w:cs="仿宋"/>
          <w:sz w:val="32"/>
          <w:szCs w:val="40"/>
        </w:rPr>
        <w:t>（X=代理机构最低应参考人数）的平均分为代理机构考试成绩，并按20%比例换算成专业知识评价分。当参加测试成绩合格人数小于代理机构最低应参考人数时，代理机构成绩记0分。</w:t>
      </w:r>
    </w:p>
    <w:p w14:paraId="5BEC97E4">
      <w:pPr>
        <w:spacing w:line="600" w:lineRule="exact"/>
        <w:ind w:firstLine="640" w:firstLineChars="200"/>
        <w:rPr>
          <w:rFonts w:ascii="仿宋" w:eastAsia="仿宋" w:cs="仿宋"/>
          <w:sz w:val="32"/>
          <w:szCs w:val="40"/>
        </w:rPr>
      </w:pPr>
      <w:r>
        <w:rPr>
          <w:rFonts w:hint="eastAsia" w:ascii="仿宋" w:eastAsia="仿宋" w:cs="仿宋"/>
          <w:sz w:val="32"/>
          <w:szCs w:val="40"/>
        </w:rPr>
        <w:t>5.准备备案入库的代理机构在完成系统注册后参加除每年4月份外任意一个月1号-20号进行的测试，最少5名专职人员参加，每名专职人员的测试分数均应达到80分以上。</w:t>
      </w:r>
    </w:p>
    <w:p w14:paraId="1E8BFEFD">
      <w:pPr>
        <w:spacing w:line="600" w:lineRule="exact"/>
        <w:ind w:firstLine="640" w:firstLineChars="200"/>
        <w:rPr>
          <w:rFonts w:ascii="仿宋" w:eastAsia="仿宋" w:cs="仿宋"/>
          <w:sz w:val="32"/>
          <w:szCs w:val="40"/>
        </w:rPr>
      </w:pPr>
      <w:r>
        <w:rPr>
          <w:rFonts w:hint="eastAsia" w:ascii="仿宋" w:eastAsia="仿宋" w:cs="仿宋"/>
          <w:sz w:val="32"/>
          <w:szCs w:val="40"/>
        </w:rPr>
        <w:t>6.代理机构被处罚暂停代理资格的，从期满后的下个月起，可以重新通过备案入库的测试获取专业知识评价分。</w:t>
      </w:r>
    </w:p>
    <w:p w14:paraId="7BC1FEBB">
      <w:pPr>
        <w:spacing w:line="600" w:lineRule="exact"/>
        <w:ind w:firstLine="640" w:firstLineChars="200"/>
        <w:rPr>
          <w:rFonts w:ascii="仿宋" w:eastAsia="仿宋" w:cs="仿宋"/>
          <w:sz w:val="32"/>
          <w:szCs w:val="40"/>
        </w:rPr>
      </w:pPr>
      <w:r>
        <w:rPr>
          <w:rFonts w:hint="eastAsia" w:ascii="仿宋" w:eastAsia="仿宋" w:cs="仿宋"/>
          <w:sz w:val="32"/>
          <w:szCs w:val="40"/>
        </w:rPr>
        <w:t>7.在参加政府采购普法测试过程中存在作弊、替考、代考情形的，视为代理机构严重违规失信行为，将予以诚信扣</w:t>
      </w:r>
      <w:r>
        <w:rPr>
          <w:rFonts w:ascii="仿宋" w:eastAsia="仿宋" w:cs="仿宋"/>
          <w:sz w:val="32"/>
          <w:szCs w:val="40"/>
        </w:rPr>
        <w:t>30分的处罚</w:t>
      </w:r>
      <w:r>
        <w:rPr>
          <w:rFonts w:hint="eastAsia" w:ascii="仿宋" w:eastAsia="仿宋" w:cs="仿宋"/>
          <w:sz w:val="32"/>
          <w:szCs w:val="40"/>
        </w:rPr>
        <w:t>，期限6个月，同时专业知识评价记0分。</w:t>
      </w:r>
    </w:p>
    <w:p w14:paraId="5C564F6E">
      <w:pPr>
        <w:spacing w:line="600" w:lineRule="exact"/>
        <w:ind w:firstLine="643" w:firstLineChars="200"/>
        <w:rPr>
          <w:rFonts w:ascii="仿宋" w:eastAsia="仿宋" w:cs="仿宋"/>
          <w:sz w:val="32"/>
          <w:szCs w:val="40"/>
        </w:rPr>
      </w:pPr>
      <w:r>
        <w:rPr>
          <w:rFonts w:hint="eastAsia" w:ascii="仿宋" w:eastAsia="仿宋" w:cs="仿宋"/>
          <w:b/>
          <w:bCs/>
          <w:sz w:val="32"/>
          <w:szCs w:val="40"/>
        </w:rPr>
        <w:t>（四）代理机构企业基本情况</w:t>
      </w:r>
    </w:p>
    <w:p w14:paraId="763226C5">
      <w:pPr>
        <w:spacing w:line="600" w:lineRule="exact"/>
        <w:ind w:firstLine="640" w:firstLineChars="200"/>
        <w:rPr>
          <w:rFonts w:ascii="仿宋" w:eastAsia="仿宋" w:cs="仿宋"/>
          <w:sz w:val="32"/>
          <w:szCs w:val="40"/>
        </w:rPr>
      </w:pPr>
      <w:r>
        <w:rPr>
          <w:rFonts w:hint="eastAsia" w:ascii="仿宋" w:eastAsia="仿宋" w:cs="仿宋"/>
          <w:sz w:val="32"/>
          <w:szCs w:val="40"/>
        </w:rPr>
        <w:t>企业基本情况由代理机构如实填报，包括登记、配置、管理和经营情况，并上传相关证明材料。此项满分为5分，系统将根据《代理机构企业基本情况表》（附件1）规则自动给出评分，并依据后期变化，动态调整分值。</w:t>
      </w:r>
    </w:p>
    <w:p w14:paraId="7D063E69">
      <w:pPr>
        <w:spacing w:line="600" w:lineRule="exact"/>
        <w:ind w:firstLine="640" w:firstLineChars="200"/>
        <w:rPr>
          <w:rFonts w:ascii="仿宋" w:eastAsia="仿宋" w:cs="仿宋"/>
          <w:sz w:val="32"/>
          <w:szCs w:val="40"/>
        </w:rPr>
      </w:pPr>
      <w:r>
        <w:rPr>
          <w:rFonts w:hint="eastAsia" w:ascii="仿宋" w:eastAsia="仿宋" w:cs="仿宋"/>
          <w:sz w:val="32"/>
          <w:szCs w:val="40"/>
        </w:rPr>
        <w:t>此项评价中任何一项经核实为虚假，则该代理机构企业基本情况评价按0分处理，同时再扣诚信评价10分，期限3个月，并将其列入年度监督检查重点对象。</w:t>
      </w:r>
    </w:p>
    <w:p w14:paraId="7395433E">
      <w:pPr>
        <w:spacing w:line="600" w:lineRule="exact"/>
        <w:ind w:firstLine="643" w:firstLineChars="200"/>
        <w:rPr>
          <w:rFonts w:ascii="仿宋" w:eastAsia="仿宋" w:cs="仿宋"/>
          <w:sz w:val="32"/>
          <w:szCs w:val="40"/>
        </w:rPr>
      </w:pPr>
      <w:r>
        <w:rPr>
          <w:rFonts w:hint="eastAsia" w:ascii="仿宋" w:eastAsia="仿宋" w:cs="仿宋"/>
          <w:b/>
          <w:bCs/>
          <w:sz w:val="32"/>
          <w:szCs w:val="40"/>
        </w:rPr>
        <w:t>（五）附加分</w:t>
      </w:r>
    </w:p>
    <w:p w14:paraId="4041A087">
      <w:pPr>
        <w:spacing w:line="600" w:lineRule="exact"/>
        <w:ind w:firstLine="640" w:firstLineChars="200"/>
        <w:rPr>
          <w:rFonts w:ascii="仿宋" w:eastAsia="仿宋" w:cs="仿宋"/>
          <w:sz w:val="32"/>
          <w:szCs w:val="40"/>
        </w:rPr>
      </w:pPr>
      <w:r>
        <w:rPr>
          <w:rFonts w:hint="eastAsia" w:ascii="仿宋" w:eastAsia="仿宋" w:cs="仿宋"/>
          <w:sz w:val="32"/>
          <w:szCs w:val="40"/>
        </w:rPr>
        <w:t>为鼓励代理机构做专做精、做大做强，设置附加分，总分为10分。具体规则如下：</w:t>
      </w:r>
    </w:p>
    <w:p w14:paraId="30B83063">
      <w:pPr>
        <w:spacing w:line="600" w:lineRule="exact"/>
        <w:ind w:firstLine="640" w:firstLineChars="200"/>
        <w:rPr>
          <w:rFonts w:ascii="仿宋" w:eastAsia="仿宋" w:cs="仿宋"/>
          <w:sz w:val="32"/>
          <w:szCs w:val="40"/>
        </w:rPr>
      </w:pPr>
      <w:r>
        <w:rPr>
          <w:rFonts w:hint="eastAsia" w:ascii="仿宋" w:eastAsia="仿宋" w:cs="仿宋"/>
          <w:sz w:val="32"/>
          <w:szCs w:val="40"/>
        </w:rPr>
        <w:t>1.代理机构启用附加分应当满足：业绩评价达到满分2</w:t>
      </w:r>
      <w:r>
        <w:rPr>
          <w:rFonts w:ascii="仿宋" w:eastAsia="仿宋" w:cs="仿宋"/>
          <w:sz w:val="32"/>
          <w:szCs w:val="40"/>
        </w:rPr>
        <w:t>5</w:t>
      </w:r>
      <w:r>
        <w:rPr>
          <w:rFonts w:hint="eastAsia" w:ascii="仿宋" w:eastAsia="仿宋" w:cs="仿宋"/>
          <w:sz w:val="32"/>
          <w:szCs w:val="40"/>
        </w:rPr>
        <w:t>分时，诚信评价未被扣分，专业知识评价分达到1</w:t>
      </w:r>
      <w:r>
        <w:rPr>
          <w:rFonts w:ascii="仿宋" w:eastAsia="仿宋" w:cs="仿宋"/>
          <w:sz w:val="32"/>
          <w:szCs w:val="40"/>
        </w:rPr>
        <w:t>8</w:t>
      </w:r>
      <w:r>
        <w:rPr>
          <w:rFonts w:hint="eastAsia" w:ascii="仿宋" w:eastAsia="仿宋" w:cs="仿宋"/>
          <w:sz w:val="32"/>
          <w:szCs w:val="40"/>
        </w:rPr>
        <w:t>分及以上。</w:t>
      </w:r>
    </w:p>
    <w:p w14:paraId="25251B89">
      <w:pPr>
        <w:spacing w:line="600" w:lineRule="exact"/>
        <w:ind w:firstLine="640" w:firstLineChars="200"/>
        <w:rPr>
          <w:rFonts w:ascii="仿宋" w:eastAsia="仿宋" w:cs="仿宋"/>
          <w:sz w:val="32"/>
          <w:szCs w:val="40"/>
        </w:rPr>
      </w:pPr>
      <w:r>
        <w:rPr>
          <w:rFonts w:hint="eastAsia" w:ascii="仿宋" w:eastAsia="仿宋" w:cs="仿宋"/>
          <w:sz w:val="32"/>
          <w:szCs w:val="40"/>
        </w:rPr>
        <w:t>2.含附加分在内，总分不超过</w:t>
      </w:r>
      <w:r>
        <w:rPr>
          <w:rFonts w:ascii="仿宋" w:eastAsia="仿宋" w:cs="仿宋"/>
          <w:sz w:val="32"/>
          <w:szCs w:val="40"/>
        </w:rPr>
        <w:t>110分。</w:t>
      </w:r>
    </w:p>
    <w:p w14:paraId="1B9E1AE2">
      <w:pPr>
        <w:spacing w:line="600" w:lineRule="exact"/>
        <w:ind w:firstLine="640" w:firstLineChars="200"/>
        <w:rPr>
          <w:rFonts w:ascii="仿宋" w:eastAsia="仿宋" w:cs="仿宋"/>
          <w:sz w:val="32"/>
          <w:szCs w:val="40"/>
        </w:rPr>
      </w:pPr>
      <w:r>
        <w:rPr>
          <w:rFonts w:hint="eastAsia" w:ascii="仿宋" w:eastAsia="仿宋" w:cs="仿宋"/>
          <w:sz w:val="32"/>
          <w:szCs w:val="40"/>
        </w:rPr>
        <w:t>3.有下列情形之一的，附加分清零：</w:t>
      </w:r>
    </w:p>
    <w:p w14:paraId="1B7A07DA">
      <w:pPr>
        <w:spacing w:line="600" w:lineRule="exact"/>
        <w:ind w:firstLine="480" w:firstLineChars="150"/>
        <w:rPr>
          <w:rFonts w:ascii="仿宋" w:eastAsia="仿宋" w:cs="仿宋"/>
          <w:sz w:val="32"/>
          <w:szCs w:val="40"/>
        </w:rPr>
      </w:pPr>
      <w:r>
        <w:rPr>
          <w:rFonts w:hint="eastAsia" w:ascii="仿宋" w:eastAsia="仿宋" w:cs="仿宋"/>
          <w:sz w:val="32"/>
          <w:szCs w:val="40"/>
        </w:rPr>
        <w:t>（1）诚信评价被扣分。</w:t>
      </w:r>
    </w:p>
    <w:p w14:paraId="338BEF11">
      <w:pPr>
        <w:spacing w:line="600" w:lineRule="exact"/>
        <w:ind w:firstLine="480" w:firstLineChars="150"/>
        <w:rPr>
          <w:rFonts w:ascii="仿宋" w:eastAsia="仿宋" w:cs="仿宋"/>
          <w:sz w:val="32"/>
          <w:szCs w:val="40"/>
        </w:rPr>
      </w:pPr>
      <w:r>
        <w:rPr>
          <w:rFonts w:hint="eastAsia" w:ascii="仿宋" w:eastAsia="仿宋" w:cs="仿宋"/>
          <w:sz w:val="32"/>
          <w:szCs w:val="40"/>
        </w:rPr>
        <w:t>（2）业务知识评价分低于16分。</w:t>
      </w:r>
    </w:p>
    <w:p w14:paraId="1A5F33D9">
      <w:pPr>
        <w:spacing w:line="600" w:lineRule="exact"/>
        <w:ind w:firstLine="640" w:firstLineChars="200"/>
        <w:rPr>
          <w:rFonts w:ascii="仿宋" w:eastAsia="仿宋" w:cs="仿宋"/>
          <w:sz w:val="32"/>
          <w:szCs w:val="40"/>
        </w:rPr>
      </w:pPr>
      <w:r>
        <w:rPr>
          <w:rFonts w:hint="eastAsia" w:ascii="黑体" w:hAnsi="黑体" w:eastAsia="黑体" w:cs="黑体"/>
          <w:sz w:val="32"/>
          <w:szCs w:val="40"/>
        </w:rPr>
        <w:t>二、综合评价运行规则</w:t>
      </w:r>
    </w:p>
    <w:p w14:paraId="5154C90C">
      <w:pPr>
        <w:spacing w:line="600" w:lineRule="exact"/>
        <w:ind w:firstLine="643" w:firstLineChars="200"/>
        <w:rPr>
          <w:rFonts w:ascii="仿宋" w:eastAsia="仿宋" w:cs="仿宋"/>
          <w:b/>
          <w:bCs/>
          <w:sz w:val="32"/>
          <w:szCs w:val="40"/>
        </w:rPr>
      </w:pPr>
      <w:r>
        <w:rPr>
          <w:rFonts w:hint="eastAsia" w:ascii="仿宋" w:eastAsia="仿宋" w:cs="仿宋"/>
          <w:b/>
          <w:bCs/>
          <w:sz w:val="32"/>
          <w:szCs w:val="40"/>
        </w:rPr>
        <w:t>（一）总分与等级</w:t>
      </w:r>
    </w:p>
    <w:p w14:paraId="3CB1BA8F">
      <w:pPr>
        <w:spacing w:line="600" w:lineRule="exact"/>
        <w:ind w:firstLine="640" w:firstLineChars="200"/>
        <w:rPr>
          <w:rFonts w:ascii="仿宋" w:eastAsia="仿宋" w:cs="仿宋"/>
          <w:sz w:val="32"/>
          <w:szCs w:val="40"/>
        </w:rPr>
      </w:pPr>
      <w:r>
        <w:rPr>
          <w:rFonts w:hint="eastAsia" w:ascii="仿宋" w:eastAsia="仿宋" w:cs="仿宋"/>
          <w:sz w:val="32"/>
          <w:szCs w:val="40"/>
        </w:rPr>
        <w:t>代理机构综合评价部分为11</w:t>
      </w:r>
      <w:r>
        <w:rPr>
          <w:rFonts w:ascii="仿宋" w:eastAsia="仿宋" w:cs="仿宋"/>
          <w:sz w:val="32"/>
          <w:szCs w:val="40"/>
        </w:rPr>
        <w:t>0</w:t>
      </w:r>
      <w:r>
        <w:rPr>
          <w:rFonts w:hint="eastAsia" w:ascii="仿宋" w:eastAsia="仿宋" w:cs="仿宋"/>
          <w:sz w:val="32"/>
          <w:szCs w:val="40"/>
        </w:rPr>
        <w:t>分，其中评价分为100分，附加分为10分，分为A、B、C三个等级。对应关系如下：</w:t>
      </w:r>
    </w:p>
    <w:p w14:paraId="094EDAB1">
      <w:pPr>
        <w:spacing w:line="600" w:lineRule="exact"/>
        <w:ind w:firstLine="640" w:firstLineChars="200"/>
        <w:rPr>
          <w:rFonts w:ascii="仿宋" w:eastAsia="仿宋" w:cs="仿宋"/>
          <w:sz w:val="32"/>
          <w:szCs w:val="40"/>
        </w:rPr>
      </w:pPr>
      <w:r>
        <w:rPr>
          <w:rFonts w:hint="eastAsia" w:ascii="仿宋" w:eastAsia="仿宋" w:cs="仿宋"/>
          <w:sz w:val="32"/>
          <w:szCs w:val="40"/>
        </w:rPr>
        <w:t>A级：总分在90分（不含）以上且诚信评价未失分</w:t>
      </w:r>
    </w:p>
    <w:p w14:paraId="31286A81">
      <w:pPr>
        <w:spacing w:line="600" w:lineRule="exact"/>
        <w:ind w:firstLine="640" w:firstLineChars="200"/>
        <w:rPr>
          <w:rFonts w:ascii="仿宋" w:eastAsia="仿宋" w:cs="仿宋"/>
          <w:sz w:val="32"/>
          <w:szCs w:val="40"/>
        </w:rPr>
      </w:pPr>
      <w:r>
        <w:rPr>
          <w:rFonts w:hint="eastAsia" w:ascii="仿宋" w:eastAsia="仿宋" w:cs="仿宋"/>
          <w:sz w:val="32"/>
          <w:szCs w:val="40"/>
        </w:rPr>
        <w:t>B级：总分在</w:t>
      </w:r>
      <w:r>
        <w:rPr>
          <w:rFonts w:ascii="仿宋" w:eastAsia="仿宋" w:cs="仿宋"/>
          <w:sz w:val="32"/>
          <w:szCs w:val="40"/>
        </w:rPr>
        <w:t>70</w:t>
      </w:r>
      <w:r>
        <w:rPr>
          <w:rFonts w:hint="eastAsia" w:ascii="仿宋" w:eastAsia="仿宋" w:cs="仿宋"/>
          <w:sz w:val="32"/>
          <w:szCs w:val="40"/>
        </w:rPr>
        <w:t>～90分</w:t>
      </w:r>
    </w:p>
    <w:p w14:paraId="768AA529">
      <w:pPr>
        <w:spacing w:line="600" w:lineRule="exact"/>
        <w:ind w:firstLine="640" w:firstLineChars="200"/>
        <w:rPr>
          <w:rFonts w:ascii="仿宋" w:eastAsia="仿宋" w:cs="仿宋"/>
          <w:sz w:val="32"/>
          <w:szCs w:val="40"/>
        </w:rPr>
      </w:pPr>
      <w:r>
        <w:rPr>
          <w:rFonts w:hint="eastAsia" w:ascii="仿宋" w:eastAsia="仿宋" w:cs="仿宋"/>
          <w:sz w:val="32"/>
          <w:szCs w:val="40"/>
        </w:rPr>
        <w:t>C级：总分在</w:t>
      </w:r>
      <w:r>
        <w:rPr>
          <w:rFonts w:ascii="仿宋" w:eastAsia="仿宋" w:cs="仿宋"/>
          <w:sz w:val="32"/>
          <w:szCs w:val="40"/>
        </w:rPr>
        <w:t>70</w:t>
      </w:r>
      <w:r>
        <w:rPr>
          <w:rFonts w:hint="eastAsia" w:ascii="仿宋" w:eastAsia="仿宋" w:cs="仿宋"/>
          <w:sz w:val="32"/>
          <w:szCs w:val="40"/>
        </w:rPr>
        <w:t>分以下</w:t>
      </w:r>
    </w:p>
    <w:p w14:paraId="3FEF0EFB">
      <w:pPr>
        <w:spacing w:line="600" w:lineRule="exact"/>
        <w:ind w:firstLine="640" w:firstLineChars="200"/>
        <w:rPr>
          <w:rFonts w:ascii="仿宋" w:eastAsia="仿宋" w:cs="仿宋"/>
          <w:sz w:val="32"/>
          <w:szCs w:val="40"/>
        </w:rPr>
      </w:pPr>
      <w:r>
        <w:rPr>
          <w:rFonts w:hint="eastAsia" w:ascii="仿宋" w:eastAsia="仿宋" w:cs="仿宋"/>
          <w:sz w:val="32"/>
          <w:szCs w:val="40"/>
        </w:rPr>
        <w:t>执业情况优秀和诚信失分状态分别以符号方式展现，总分达到108分及以上时，其等级显示为A+；诚信评价分不满50分时，其等级显示为X-（X可为B或C）。</w:t>
      </w:r>
    </w:p>
    <w:p w14:paraId="511E7B0A">
      <w:pPr>
        <w:spacing w:line="600" w:lineRule="exact"/>
        <w:ind w:firstLine="643" w:firstLineChars="200"/>
        <w:rPr>
          <w:rFonts w:ascii="仿宋" w:eastAsia="仿宋" w:cs="仿宋"/>
          <w:b/>
          <w:bCs/>
          <w:sz w:val="32"/>
          <w:szCs w:val="40"/>
        </w:rPr>
      </w:pPr>
      <w:r>
        <w:rPr>
          <w:rFonts w:hint="eastAsia" w:ascii="仿宋" w:eastAsia="仿宋" w:cs="仿宋"/>
          <w:b/>
          <w:bCs/>
          <w:sz w:val="32"/>
          <w:szCs w:val="40"/>
        </w:rPr>
        <w:t>（二）起始分值确定</w:t>
      </w:r>
    </w:p>
    <w:p w14:paraId="19630FE4">
      <w:pPr>
        <w:spacing w:line="600" w:lineRule="exact"/>
        <w:ind w:firstLine="640" w:firstLineChars="200"/>
        <w:rPr>
          <w:rFonts w:ascii="仿宋" w:eastAsia="仿宋" w:cs="仿宋"/>
          <w:sz w:val="32"/>
          <w:szCs w:val="40"/>
        </w:rPr>
      </w:pPr>
      <w:r>
        <w:rPr>
          <w:rFonts w:hint="eastAsia" w:ascii="仿宋" w:eastAsia="仿宋" w:cs="仿宋"/>
          <w:sz w:val="32"/>
          <w:szCs w:val="40"/>
        </w:rPr>
        <w:t>代理机构的综合评价初始分数由诚信评价、业绩评价、专业知识评价、企业基本情况四个部分分值总和，诚信评价为50分，业绩评价起始0分，专业知识以参加测试的单位平均成绩换算得分，企业基本情况以代理机构填报后系统自动评分。按照规则计算，入库的代理机构起始等级均为B级。</w:t>
      </w:r>
    </w:p>
    <w:p w14:paraId="08656ED4">
      <w:pPr>
        <w:spacing w:line="600" w:lineRule="exact"/>
        <w:ind w:firstLine="643" w:firstLineChars="200"/>
        <w:rPr>
          <w:rFonts w:ascii="仿宋" w:eastAsia="仿宋" w:cs="仿宋"/>
          <w:sz w:val="32"/>
          <w:szCs w:val="40"/>
        </w:rPr>
      </w:pPr>
      <w:r>
        <w:rPr>
          <w:rFonts w:hint="eastAsia" w:ascii="仿宋" w:eastAsia="仿宋" w:cs="仿宋"/>
          <w:b/>
          <w:bCs/>
          <w:sz w:val="32"/>
          <w:szCs w:val="40"/>
        </w:rPr>
        <w:t>（三）动用附加分</w:t>
      </w:r>
    </w:p>
    <w:p w14:paraId="36597C0E">
      <w:pPr>
        <w:spacing w:line="600" w:lineRule="exact"/>
        <w:ind w:firstLine="640" w:firstLineChars="200"/>
        <w:rPr>
          <w:rFonts w:ascii="仿宋" w:eastAsia="仿宋" w:cs="仿宋"/>
          <w:sz w:val="32"/>
          <w:szCs w:val="40"/>
        </w:rPr>
      </w:pPr>
      <w:r>
        <w:rPr>
          <w:rFonts w:hint="eastAsia" w:ascii="仿宋" w:eastAsia="仿宋" w:cs="仿宋"/>
          <w:sz w:val="32"/>
          <w:szCs w:val="40"/>
        </w:rPr>
        <w:t>当代理机构总分达</w:t>
      </w:r>
      <w:r>
        <w:rPr>
          <w:rFonts w:ascii="仿宋" w:eastAsia="仿宋" w:cs="仿宋"/>
          <w:sz w:val="32"/>
          <w:szCs w:val="40"/>
        </w:rPr>
        <w:t>98分后</w:t>
      </w:r>
      <w:r>
        <w:rPr>
          <w:rFonts w:hint="eastAsia" w:ascii="仿宋" w:eastAsia="仿宋" w:cs="仿宋"/>
          <w:sz w:val="32"/>
          <w:szCs w:val="40"/>
        </w:rPr>
        <w:t>可以获得附加分</w:t>
      </w:r>
      <w:r>
        <w:rPr>
          <w:rFonts w:ascii="仿宋" w:eastAsia="仿宋" w:cs="仿宋"/>
          <w:sz w:val="32"/>
          <w:szCs w:val="40"/>
        </w:rPr>
        <w:t>，每月自动增加附加分1分，最多加</w:t>
      </w:r>
      <w:r>
        <w:rPr>
          <w:rFonts w:hint="eastAsia" w:ascii="仿宋" w:eastAsia="仿宋" w:cs="仿宋"/>
          <w:sz w:val="32"/>
          <w:szCs w:val="40"/>
        </w:rPr>
        <w:t>1</w:t>
      </w:r>
      <w:r>
        <w:rPr>
          <w:rFonts w:ascii="仿宋" w:eastAsia="仿宋" w:cs="仿宋"/>
          <w:sz w:val="32"/>
          <w:szCs w:val="40"/>
        </w:rPr>
        <w:t>0分。</w:t>
      </w:r>
    </w:p>
    <w:p w14:paraId="21F8F20A">
      <w:pPr>
        <w:spacing w:line="600" w:lineRule="exact"/>
        <w:ind w:firstLine="640" w:firstLineChars="200"/>
        <w:rPr>
          <w:rFonts w:ascii="黑体" w:hAnsi="黑体" w:eastAsia="黑体" w:cs="黑体"/>
          <w:sz w:val="32"/>
          <w:szCs w:val="40"/>
        </w:rPr>
      </w:pPr>
      <w:r>
        <w:rPr>
          <w:rFonts w:hint="eastAsia" w:ascii="黑体" w:hAnsi="黑体" w:eastAsia="黑体" w:cs="黑体"/>
          <w:sz w:val="32"/>
          <w:szCs w:val="40"/>
        </w:rPr>
        <w:t>三、综合评价规则运用</w:t>
      </w:r>
    </w:p>
    <w:p w14:paraId="666A3203">
      <w:pPr>
        <w:spacing w:line="600" w:lineRule="exact"/>
        <w:ind w:firstLine="640" w:firstLineChars="200"/>
        <w:rPr>
          <w:rFonts w:ascii="仿宋" w:eastAsia="仿宋" w:cs="仿宋"/>
          <w:sz w:val="32"/>
          <w:szCs w:val="40"/>
        </w:rPr>
      </w:pPr>
      <w:r>
        <w:rPr>
          <w:rFonts w:hint="eastAsia" w:ascii="仿宋" w:eastAsia="仿宋" w:cs="仿宋"/>
          <w:sz w:val="32"/>
          <w:szCs w:val="40"/>
        </w:rPr>
        <w:t>通过甘肃省政府采购官网首页，将代理机构的评价等级和诚信情况面向采购人公开，引导采购人自主择优选择代理机构</w:t>
      </w:r>
      <w:r>
        <w:rPr>
          <w:rFonts w:ascii="仿宋" w:eastAsia="仿宋" w:cs="仿宋"/>
          <w:sz w:val="32"/>
          <w:szCs w:val="40"/>
        </w:rPr>
        <w:t xml:space="preserve"> 。</w:t>
      </w:r>
    </w:p>
    <w:p w14:paraId="130D88C4">
      <w:pPr>
        <w:spacing w:line="600" w:lineRule="exact"/>
        <w:ind w:firstLine="640" w:firstLineChars="200"/>
        <w:rPr>
          <w:rFonts w:ascii="仿宋" w:eastAsia="仿宋" w:cs="仿宋"/>
          <w:sz w:val="32"/>
          <w:szCs w:val="40"/>
        </w:rPr>
      </w:pPr>
      <w:r>
        <w:rPr>
          <w:rFonts w:hint="eastAsia" w:ascii="仿宋" w:eastAsia="仿宋" w:cs="仿宋"/>
          <w:sz w:val="32"/>
          <w:szCs w:val="40"/>
        </w:rPr>
        <w:t>第一种方式：采购人可以自主择优选择1家代理机构代理业务，但须在系统中上传单位内控领导小组会议纪要；</w:t>
      </w:r>
    </w:p>
    <w:p w14:paraId="09447B5B">
      <w:pPr>
        <w:spacing w:line="600" w:lineRule="exact"/>
        <w:ind w:firstLine="640" w:firstLineChars="200"/>
        <w:rPr>
          <w:rFonts w:ascii="仿宋" w:eastAsia="仿宋" w:cs="仿宋"/>
          <w:sz w:val="32"/>
          <w:szCs w:val="40"/>
        </w:rPr>
      </w:pPr>
      <w:r>
        <w:rPr>
          <w:rFonts w:hint="eastAsia" w:ascii="仿宋" w:eastAsia="仿宋" w:cs="仿宋"/>
          <w:sz w:val="32"/>
          <w:szCs w:val="40"/>
        </w:rPr>
        <w:t>第二种方式:由系统择优推送，即根据采购人选择的采购活动所在区域诚信执业的A、B级代理机构供采购人从中随机抽取1家；</w:t>
      </w:r>
    </w:p>
    <w:p w14:paraId="233D15B9">
      <w:pPr>
        <w:spacing w:line="600" w:lineRule="exact"/>
        <w:ind w:firstLine="640" w:firstLineChars="200"/>
        <w:rPr>
          <w:rFonts w:ascii="仿宋" w:eastAsia="仿宋" w:cs="仿宋"/>
          <w:sz w:val="32"/>
          <w:szCs w:val="40"/>
        </w:rPr>
      </w:pPr>
      <w:r>
        <w:rPr>
          <w:rFonts w:hint="eastAsia" w:ascii="仿宋" w:eastAsia="仿宋" w:cs="仿宋"/>
          <w:sz w:val="32"/>
          <w:szCs w:val="40"/>
        </w:rPr>
        <w:t>第三种方式：采购人自行设立代理机构库的，应实行动态管理，结合代理机构评价等级，随时清退和补充，从中随机抽取1家代理机构的，应符合下列条件：</w:t>
      </w:r>
    </w:p>
    <w:p w14:paraId="79770E81">
      <w:pPr>
        <w:spacing w:line="600" w:lineRule="exact"/>
        <w:ind w:firstLine="640" w:firstLineChars="200"/>
        <w:rPr>
          <w:rFonts w:ascii="仿宋" w:eastAsia="仿宋" w:cs="仿宋"/>
          <w:sz w:val="32"/>
          <w:szCs w:val="40"/>
        </w:rPr>
      </w:pPr>
      <w:r>
        <w:rPr>
          <w:rFonts w:hint="eastAsia" w:ascii="仿宋" w:eastAsia="仿宋" w:cs="仿宋"/>
          <w:sz w:val="32"/>
          <w:szCs w:val="40"/>
        </w:rPr>
        <w:t>1.必须在甘肃省政府采购网备案的有效代理机构库中选取，数量规模应不少于</w:t>
      </w:r>
      <w:r>
        <w:rPr>
          <w:rFonts w:ascii="仿宋" w:eastAsia="仿宋" w:cs="仿宋"/>
          <w:sz w:val="32"/>
          <w:szCs w:val="40"/>
        </w:rPr>
        <w:t>16</w:t>
      </w:r>
      <w:r>
        <w:rPr>
          <w:rFonts w:hint="eastAsia" w:ascii="仿宋" w:eastAsia="仿宋" w:cs="仿宋"/>
          <w:sz w:val="32"/>
          <w:szCs w:val="40"/>
        </w:rPr>
        <w:t>家。</w:t>
      </w:r>
    </w:p>
    <w:p w14:paraId="677462D2">
      <w:pPr>
        <w:spacing w:line="600" w:lineRule="exact"/>
        <w:ind w:firstLine="640" w:firstLineChars="200"/>
        <w:rPr>
          <w:rFonts w:ascii="仿宋" w:eastAsia="仿宋" w:cs="仿宋"/>
          <w:sz w:val="32"/>
          <w:szCs w:val="40"/>
        </w:rPr>
      </w:pPr>
      <w:r>
        <w:rPr>
          <w:rFonts w:hint="eastAsia" w:ascii="仿宋" w:eastAsia="仿宋" w:cs="仿宋"/>
          <w:sz w:val="32"/>
          <w:szCs w:val="40"/>
        </w:rPr>
        <w:t>2.库中的B级代理机构数量应不少于A级代理机构的数量，不选A级的除外。</w:t>
      </w:r>
    </w:p>
    <w:p w14:paraId="77000B25">
      <w:pPr>
        <w:spacing w:line="600" w:lineRule="exact"/>
        <w:ind w:firstLine="640" w:firstLineChars="200"/>
        <w:rPr>
          <w:rFonts w:ascii="仿宋" w:eastAsia="仿宋" w:cs="仿宋"/>
          <w:sz w:val="32"/>
          <w:szCs w:val="40"/>
        </w:rPr>
      </w:pPr>
      <w:r>
        <w:rPr>
          <w:rFonts w:hint="eastAsia" w:ascii="仿宋" w:eastAsia="仿宋" w:cs="仿宋"/>
          <w:sz w:val="32"/>
          <w:szCs w:val="40"/>
        </w:rPr>
        <w:t>如果采购人最终委托的代理机构为C级或为失信企业，该项目将纳入年度重点监督检查项目。</w:t>
      </w:r>
    </w:p>
    <w:p w14:paraId="57B88A1E"/>
    <w:p w14:paraId="48A59077">
      <w:pPr>
        <w:spacing w:line="576" w:lineRule="exact"/>
        <w:ind w:firstLine="1120" w:firstLineChars="350"/>
        <w:rPr>
          <w:rFonts w:ascii="仿宋_GB2312" w:eastAsia="仿宋_GB2312"/>
          <w:sz w:val="32"/>
          <w:szCs w:val="32"/>
        </w:rPr>
      </w:pPr>
    </w:p>
    <w:sectPr>
      <w:footerReference r:id="rId4" w:type="first"/>
      <w:footerReference r:id="rId3" w:type="default"/>
      <w:pgSz w:w="11906" w:h="16838"/>
      <w:pgMar w:top="1440" w:right="1800" w:bottom="1440" w:left="1800" w:header="851" w:footer="737"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方正舒体"/>
    <w:panose1 w:val="03000509000000000000"/>
    <w:charset w:val="86"/>
    <w:family w:val="script"/>
    <w:pitch w:val="default"/>
    <w:sig w:usb0="00000000" w:usb1="00000000" w:usb2="00000010" w:usb3="00000000" w:csb0="00040000" w:csb1="00000000"/>
  </w:font>
  <w:font w:name="FZFangS-TC">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文泉驿微米黑">
    <w:altName w:val="黑体"/>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1B1963D3">
        <w:pPr>
          <w:pStyle w:val="4"/>
          <w:jc w:val="center"/>
        </w:pPr>
        <w:r>
          <w:fldChar w:fldCharType="begin"/>
        </w:r>
        <w:r>
          <w:instrText xml:space="preserve">PAGE   \* MERGEFORMAT</w:instrText>
        </w:r>
        <w:r>
          <w:fldChar w:fldCharType="separate"/>
        </w:r>
        <w:r>
          <w:rPr>
            <w:lang w:val="zh-CN"/>
          </w:rPr>
          <w:t>18</w:t>
        </w:r>
        <w:r>
          <w:fldChar w:fldCharType="end"/>
        </w:r>
      </w:p>
    </w:sdtContent>
  </w:sdt>
  <w:p w14:paraId="38174562">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99993360"/>
    </w:sdtPr>
    <w:sdtContent>
      <w:p w14:paraId="3BF8A640">
        <w:pPr>
          <w:pStyle w:val="4"/>
          <w:jc w:val="center"/>
        </w:pPr>
        <w:r>
          <w:fldChar w:fldCharType="begin"/>
        </w:r>
        <w:r>
          <w:instrText xml:space="preserve">PAGE   \* MERGEFORMAT</w:instrText>
        </w:r>
        <w:r>
          <w:fldChar w:fldCharType="separate"/>
        </w:r>
        <w:r>
          <w:rPr>
            <w:lang w:val="zh-CN"/>
          </w:rPr>
          <w:t>1</w:t>
        </w:r>
        <w:r>
          <w:fldChar w:fldCharType="end"/>
        </w:r>
      </w:p>
    </w:sdtContent>
  </w:sdt>
  <w:p w14:paraId="4D0EC72E">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CD7"/>
    <w:rsid w:val="00003363"/>
    <w:rsid w:val="0000550E"/>
    <w:rsid w:val="00007939"/>
    <w:rsid w:val="00011818"/>
    <w:rsid w:val="0001216E"/>
    <w:rsid w:val="000124D2"/>
    <w:rsid w:val="000139F0"/>
    <w:rsid w:val="00016E3B"/>
    <w:rsid w:val="0002596A"/>
    <w:rsid w:val="00026928"/>
    <w:rsid w:val="0003186C"/>
    <w:rsid w:val="00033552"/>
    <w:rsid w:val="00040CE9"/>
    <w:rsid w:val="0004724B"/>
    <w:rsid w:val="0005168D"/>
    <w:rsid w:val="00056140"/>
    <w:rsid w:val="00064EF6"/>
    <w:rsid w:val="00066E08"/>
    <w:rsid w:val="0007155A"/>
    <w:rsid w:val="000729F7"/>
    <w:rsid w:val="00072F5A"/>
    <w:rsid w:val="00074236"/>
    <w:rsid w:val="0007693C"/>
    <w:rsid w:val="0008282E"/>
    <w:rsid w:val="00086570"/>
    <w:rsid w:val="000954BB"/>
    <w:rsid w:val="00095D4D"/>
    <w:rsid w:val="000A3269"/>
    <w:rsid w:val="000A632D"/>
    <w:rsid w:val="000B3D15"/>
    <w:rsid w:val="000B58D7"/>
    <w:rsid w:val="000D4C2C"/>
    <w:rsid w:val="000D6574"/>
    <w:rsid w:val="000E291B"/>
    <w:rsid w:val="000E503D"/>
    <w:rsid w:val="000F490E"/>
    <w:rsid w:val="000F6A07"/>
    <w:rsid w:val="000F7C04"/>
    <w:rsid w:val="00104CD7"/>
    <w:rsid w:val="001149A1"/>
    <w:rsid w:val="001154F9"/>
    <w:rsid w:val="00115A21"/>
    <w:rsid w:val="001176B9"/>
    <w:rsid w:val="001179A5"/>
    <w:rsid w:val="00126EF9"/>
    <w:rsid w:val="001279B6"/>
    <w:rsid w:val="0014500A"/>
    <w:rsid w:val="001508BD"/>
    <w:rsid w:val="00150A22"/>
    <w:rsid w:val="0015165B"/>
    <w:rsid w:val="00151E2D"/>
    <w:rsid w:val="001564B2"/>
    <w:rsid w:val="0015665C"/>
    <w:rsid w:val="00160779"/>
    <w:rsid w:val="00160BF1"/>
    <w:rsid w:val="0017294B"/>
    <w:rsid w:val="001740B5"/>
    <w:rsid w:val="00174218"/>
    <w:rsid w:val="001814FB"/>
    <w:rsid w:val="0019075F"/>
    <w:rsid w:val="00191C11"/>
    <w:rsid w:val="001A7E43"/>
    <w:rsid w:val="001B0D8B"/>
    <w:rsid w:val="001B4710"/>
    <w:rsid w:val="001B514E"/>
    <w:rsid w:val="001B5A0B"/>
    <w:rsid w:val="001B6EDC"/>
    <w:rsid w:val="001C2921"/>
    <w:rsid w:val="001C72CA"/>
    <w:rsid w:val="001D2B96"/>
    <w:rsid w:val="001D62CD"/>
    <w:rsid w:val="001E1AEC"/>
    <w:rsid w:val="001E6009"/>
    <w:rsid w:val="001E6731"/>
    <w:rsid w:val="001F1FAF"/>
    <w:rsid w:val="00214089"/>
    <w:rsid w:val="00226214"/>
    <w:rsid w:val="00230142"/>
    <w:rsid w:val="00254110"/>
    <w:rsid w:val="002600D8"/>
    <w:rsid w:val="00260C51"/>
    <w:rsid w:val="00261F8D"/>
    <w:rsid w:val="00266B61"/>
    <w:rsid w:val="00272DD4"/>
    <w:rsid w:val="00273CB3"/>
    <w:rsid w:val="002765BD"/>
    <w:rsid w:val="00285C70"/>
    <w:rsid w:val="002861FD"/>
    <w:rsid w:val="00286671"/>
    <w:rsid w:val="002943FD"/>
    <w:rsid w:val="002A0EA4"/>
    <w:rsid w:val="002A4BD4"/>
    <w:rsid w:val="002B0FBF"/>
    <w:rsid w:val="002B4690"/>
    <w:rsid w:val="002B6D4F"/>
    <w:rsid w:val="002C0349"/>
    <w:rsid w:val="002C62F9"/>
    <w:rsid w:val="002D0C30"/>
    <w:rsid w:val="002D220F"/>
    <w:rsid w:val="002D739C"/>
    <w:rsid w:val="002E2738"/>
    <w:rsid w:val="002E2C6A"/>
    <w:rsid w:val="002E622E"/>
    <w:rsid w:val="002F3D7B"/>
    <w:rsid w:val="0030506F"/>
    <w:rsid w:val="0030559F"/>
    <w:rsid w:val="00314603"/>
    <w:rsid w:val="00324D04"/>
    <w:rsid w:val="00331A28"/>
    <w:rsid w:val="0034197C"/>
    <w:rsid w:val="0034550E"/>
    <w:rsid w:val="003553EE"/>
    <w:rsid w:val="00364772"/>
    <w:rsid w:val="00366FFF"/>
    <w:rsid w:val="003714E0"/>
    <w:rsid w:val="00372E7A"/>
    <w:rsid w:val="00374883"/>
    <w:rsid w:val="003768E4"/>
    <w:rsid w:val="0037753C"/>
    <w:rsid w:val="00382FA6"/>
    <w:rsid w:val="003852FF"/>
    <w:rsid w:val="003861B1"/>
    <w:rsid w:val="0039661C"/>
    <w:rsid w:val="00397A9F"/>
    <w:rsid w:val="003A30FD"/>
    <w:rsid w:val="003B63E6"/>
    <w:rsid w:val="003C23FD"/>
    <w:rsid w:val="003C4247"/>
    <w:rsid w:val="003C5C5D"/>
    <w:rsid w:val="003C651B"/>
    <w:rsid w:val="003D17BC"/>
    <w:rsid w:val="003D79A9"/>
    <w:rsid w:val="003E6775"/>
    <w:rsid w:val="003F3097"/>
    <w:rsid w:val="003F5BE6"/>
    <w:rsid w:val="00431D03"/>
    <w:rsid w:val="004403F2"/>
    <w:rsid w:val="00442124"/>
    <w:rsid w:val="00442981"/>
    <w:rsid w:val="00457506"/>
    <w:rsid w:val="00460DE9"/>
    <w:rsid w:val="00463A77"/>
    <w:rsid w:val="004710D8"/>
    <w:rsid w:val="00482BD2"/>
    <w:rsid w:val="004830B4"/>
    <w:rsid w:val="0048352C"/>
    <w:rsid w:val="00483E51"/>
    <w:rsid w:val="00483FFC"/>
    <w:rsid w:val="00493B13"/>
    <w:rsid w:val="004A2CBB"/>
    <w:rsid w:val="004A3023"/>
    <w:rsid w:val="004A5BC7"/>
    <w:rsid w:val="004A76FA"/>
    <w:rsid w:val="004B38B7"/>
    <w:rsid w:val="004B5FEB"/>
    <w:rsid w:val="004C6B29"/>
    <w:rsid w:val="004D009E"/>
    <w:rsid w:val="004D06C7"/>
    <w:rsid w:val="004D55EF"/>
    <w:rsid w:val="004E097C"/>
    <w:rsid w:val="004E16ED"/>
    <w:rsid w:val="004E760E"/>
    <w:rsid w:val="004F20BE"/>
    <w:rsid w:val="004F2479"/>
    <w:rsid w:val="004F34A4"/>
    <w:rsid w:val="004F61C2"/>
    <w:rsid w:val="005032DC"/>
    <w:rsid w:val="005140AF"/>
    <w:rsid w:val="00524E1D"/>
    <w:rsid w:val="00530A49"/>
    <w:rsid w:val="005360D5"/>
    <w:rsid w:val="0053665A"/>
    <w:rsid w:val="0054545B"/>
    <w:rsid w:val="0054590A"/>
    <w:rsid w:val="005465E4"/>
    <w:rsid w:val="005472D0"/>
    <w:rsid w:val="0055414E"/>
    <w:rsid w:val="0055431A"/>
    <w:rsid w:val="005572A0"/>
    <w:rsid w:val="00557DA1"/>
    <w:rsid w:val="00563BA6"/>
    <w:rsid w:val="005647B8"/>
    <w:rsid w:val="00567FF2"/>
    <w:rsid w:val="00590461"/>
    <w:rsid w:val="005A1C5C"/>
    <w:rsid w:val="005B144B"/>
    <w:rsid w:val="005C01B6"/>
    <w:rsid w:val="005C3D5B"/>
    <w:rsid w:val="005C4B89"/>
    <w:rsid w:val="005C60C5"/>
    <w:rsid w:val="005C699F"/>
    <w:rsid w:val="005C70C0"/>
    <w:rsid w:val="005D1533"/>
    <w:rsid w:val="005D43C5"/>
    <w:rsid w:val="005E2B1C"/>
    <w:rsid w:val="00600101"/>
    <w:rsid w:val="00602842"/>
    <w:rsid w:val="00606D50"/>
    <w:rsid w:val="006153A6"/>
    <w:rsid w:val="00620466"/>
    <w:rsid w:val="00621E3B"/>
    <w:rsid w:val="00624F1C"/>
    <w:rsid w:val="00635EDC"/>
    <w:rsid w:val="00637753"/>
    <w:rsid w:val="0064018B"/>
    <w:rsid w:val="0064157D"/>
    <w:rsid w:val="006478E9"/>
    <w:rsid w:val="00651CE6"/>
    <w:rsid w:val="00653F45"/>
    <w:rsid w:val="00654E57"/>
    <w:rsid w:val="0065778B"/>
    <w:rsid w:val="00661528"/>
    <w:rsid w:val="00662F80"/>
    <w:rsid w:val="00663AE8"/>
    <w:rsid w:val="0066746D"/>
    <w:rsid w:val="00675896"/>
    <w:rsid w:val="00677AB8"/>
    <w:rsid w:val="00677B81"/>
    <w:rsid w:val="006965A6"/>
    <w:rsid w:val="006A48FB"/>
    <w:rsid w:val="006A7DE1"/>
    <w:rsid w:val="006B42BD"/>
    <w:rsid w:val="006C536E"/>
    <w:rsid w:val="006C7151"/>
    <w:rsid w:val="006D32BB"/>
    <w:rsid w:val="006D3FE8"/>
    <w:rsid w:val="006D60B2"/>
    <w:rsid w:val="006E0EBF"/>
    <w:rsid w:val="006E6EE2"/>
    <w:rsid w:val="006F5A39"/>
    <w:rsid w:val="007041E5"/>
    <w:rsid w:val="00704481"/>
    <w:rsid w:val="00716B63"/>
    <w:rsid w:val="007226E7"/>
    <w:rsid w:val="00723A9A"/>
    <w:rsid w:val="00724939"/>
    <w:rsid w:val="00724C08"/>
    <w:rsid w:val="007251F5"/>
    <w:rsid w:val="00733C62"/>
    <w:rsid w:val="00737BA0"/>
    <w:rsid w:val="007402CD"/>
    <w:rsid w:val="00764EBD"/>
    <w:rsid w:val="0076509D"/>
    <w:rsid w:val="00770CF3"/>
    <w:rsid w:val="00783F47"/>
    <w:rsid w:val="0078662B"/>
    <w:rsid w:val="007961BE"/>
    <w:rsid w:val="007A1FFC"/>
    <w:rsid w:val="007A2FE7"/>
    <w:rsid w:val="007B2F7F"/>
    <w:rsid w:val="007B5E78"/>
    <w:rsid w:val="007B696E"/>
    <w:rsid w:val="007C4CE8"/>
    <w:rsid w:val="007C5E71"/>
    <w:rsid w:val="007D074D"/>
    <w:rsid w:val="007D0E11"/>
    <w:rsid w:val="007D2162"/>
    <w:rsid w:val="007D27B7"/>
    <w:rsid w:val="007D41A3"/>
    <w:rsid w:val="007D428F"/>
    <w:rsid w:val="007E5493"/>
    <w:rsid w:val="007E7840"/>
    <w:rsid w:val="007F02E8"/>
    <w:rsid w:val="007F0E40"/>
    <w:rsid w:val="007F1E26"/>
    <w:rsid w:val="007F6536"/>
    <w:rsid w:val="007F7D19"/>
    <w:rsid w:val="00803EE3"/>
    <w:rsid w:val="0081051F"/>
    <w:rsid w:val="0082171B"/>
    <w:rsid w:val="008255CE"/>
    <w:rsid w:val="00832412"/>
    <w:rsid w:val="00835C1F"/>
    <w:rsid w:val="008468B3"/>
    <w:rsid w:val="00847348"/>
    <w:rsid w:val="00850702"/>
    <w:rsid w:val="00851AB3"/>
    <w:rsid w:val="00851BE5"/>
    <w:rsid w:val="008557FD"/>
    <w:rsid w:val="00855E3C"/>
    <w:rsid w:val="0085624F"/>
    <w:rsid w:val="00856B78"/>
    <w:rsid w:val="008572CE"/>
    <w:rsid w:val="0086313D"/>
    <w:rsid w:val="008670FD"/>
    <w:rsid w:val="008673C7"/>
    <w:rsid w:val="0087149B"/>
    <w:rsid w:val="00875BFB"/>
    <w:rsid w:val="00885744"/>
    <w:rsid w:val="008A0240"/>
    <w:rsid w:val="008A37DD"/>
    <w:rsid w:val="008A467C"/>
    <w:rsid w:val="008A77A9"/>
    <w:rsid w:val="008B22E2"/>
    <w:rsid w:val="008B2578"/>
    <w:rsid w:val="008C413F"/>
    <w:rsid w:val="008C45D0"/>
    <w:rsid w:val="008D233F"/>
    <w:rsid w:val="008D2544"/>
    <w:rsid w:val="008D52DA"/>
    <w:rsid w:val="008E27E0"/>
    <w:rsid w:val="008E6068"/>
    <w:rsid w:val="008E65D3"/>
    <w:rsid w:val="008F1E92"/>
    <w:rsid w:val="008F54CC"/>
    <w:rsid w:val="00901828"/>
    <w:rsid w:val="00911E89"/>
    <w:rsid w:val="0091633D"/>
    <w:rsid w:val="00925B9F"/>
    <w:rsid w:val="0092768B"/>
    <w:rsid w:val="00930437"/>
    <w:rsid w:val="00931700"/>
    <w:rsid w:val="00932B29"/>
    <w:rsid w:val="009348C7"/>
    <w:rsid w:val="009447FA"/>
    <w:rsid w:val="009539FC"/>
    <w:rsid w:val="00954AB3"/>
    <w:rsid w:val="00955314"/>
    <w:rsid w:val="00956473"/>
    <w:rsid w:val="00956FD0"/>
    <w:rsid w:val="00964706"/>
    <w:rsid w:val="00965716"/>
    <w:rsid w:val="00966086"/>
    <w:rsid w:val="00966D9B"/>
    <w:rsid w:val="00972851"/>
    <w:rsid w:val="00985B3D"/>
    <w:rsid w:val="00987881"/>
    <w:rsid w:val="00994EFF"/>
    <w:rsid w:val="009A31FB"/>
    <w:rsid w:val="009A5B8A"/>
    <w:rsid w:val="009B5C30"/>
    <w:rsid w:val="009E332D"/>
    <w:rsid w:val="009E342A"/>
    <w:rsid w:val="009E5A3A"/>
    <w:rsid w:val="009F07E0"/>
    <w:rsid w:val="009F4883"/>
    <w:rsid w:val="009F5922"/>
    <w:rsid w:val="009F6DC0"/>
    <w:rsid w:val="00A115EE"/>
    <w:rsid w:val="00A208A0"/>
    <w:rsid w:val="00A22302"/>
    <w:rsid w:val="00A30CD5"/>
    <w:rsid w:val="00A3419E"/>
    <w:rsid w:val="00A34826"/>
    <w:rsid w:val="00A3488C"/>
    <w:rsid w:val="00A43FA3"/>
    <w:rsid w:val="00A56C95"/>
    <w:rsid w:val="00A60F08"/>
    <w:rsid w:val="00A81CA4"/>
    <w:rsid w:val="00A851B9"/>
    <w:rsid w:val="00A969B1"/>
    <w:rsid w:val="00AB032C"/>
    <w:rsid w:val="00AB5CC6"/>
    <w:rsid w:val="00AD3BEA"/>
    <w:rsid w:val="00AF198E"/>
    <w:rsid w:val="00AF2154"/>
    <w:rsid w:val="00AF4EA3"/>
    <w:rsid w:val="00AF7218"/>
    <w:rsid w:val="00B02C1D"/>
    <w:rsid w:val="00B07118"/>
    <w:rsid w:val="00B12294"/>
    <w:rsid w:val="00B2172A"/>
    <w:rsid w:val="00B24508"/>
    <w:rsid w:val="00B25724"/>
    <w:rsid w:val="00B32FEF"/>
    <w:rsid w:val="00B363D4"/>
    <w:rsid w:val="00B518BD"/>
    <w:rsid w:val="00B56F76"/>
    <w:rsid w:val="00B65A0B"/>
    <w:rsid w:val="00B677B4"/>
    <w:rsid w:val="00B85634"/>
    <w:rsid w:val="00B864C6"/>
    <w:rsid w:val="00B92CD7"/>
    <w:rsid w:val="00B96378"/>
    <w:rsid w:val="00BA26A8"/>
    <w:rsid w:val="00BB7AB9"/>
    <w:rsid w:val="00BC0925"/>
    <w:rsid w:val="00BC1B2C"/>
    <w:rsid w:val="00BC2500"/>
    <w:rsid w:val="00BD725E"/>
    <w:rsid w:val="00BF058F"/>
    <w:rsid w:val="00C06AAB"/>
    <w:rsid w:val="00C07D4B"/>
    <w:rsid w:val="00C12C14"/>
    <w:rsid w:val="00C1359F"/>
    <w:rsid w:val="00C14CB4"/>
    <w:rsid w:val="00C15A81"/>
    <w:rsid w:val="00C21BEF"/>
    <w:rsid w:val="00C25C80"/>
    <w:rsid w:val="00C33B0B"/>
    <w:rsid w:val="00C40EA0"/>
    <w:rsid w:val="00C4363E"/>
    <w:rsid w:val="00C4582D"/>
    <w:rsid w:val="00C460D4"/>
    <w:rsid w:val="00C5611B"/>
    <w:rsid w:val="00C6418D"/>
    <w:rsid w:val="00C657EA"/>
    <w:rsid w:val="00C6713D"/>
    <w:rsid w:val="00C71B60"/>
    <w:rsid w:val="00C73DD2"/>
    <w:rsid w:val="00C80727"/>
    <w:rsid w:val="00C8140F"/>
    <w:rsid w:val="00C92853"/>
    <w:rsid w:val="00C95024"/>
    <w:rsid w:val="00CA1DEE"/>
    <w:rsid w:val="00CA38D6"/>
    <w:rsid w:val="00CA62E9"/>
    <w:rsid w:val="00CB198D"/>
    <w:rsid w:val="00CB2445"/>
    <w:rsid w:val="00CB4954"/>
    <w:rsid w:val="00CC37EE"/>
    <w:rsid w:val="00CE3BFF"/>
    <w:rsid w:val="00CF2749"/>
    <w:rsid w:val="00CF537B"/>
    <w:rsid w:val="00D0463B"/>
    <w:rsid w:val="00D11026"/>
    <w:rsid w:val="00D12C33"/>
    <w:rsid w:val="00D21123"/>
    <w:rsid w:val="00D242AD"/>
    <w:rsid w:val="00D300F9"/>
    <w:rsid w:val="00D40A4A"/>
    <w:rsid w:val="00D5401B"/>
    <w:rsid w:val="00D657A7"/>
    <w:rsid w:val="00D6639D"/>
    <w:rsid w:val="00D6731D"/>
    <w:rsid w:val="00D72EA0"/>
    <w:rsid w:val="00D77359"/>
    <w:rsid w:val="00D845A5"/>
    <w:rsid w:val="00D91454"/>
    <w:rsid w:val="00D92CE4"/>
    <w:rsid w:val="00D92D6B"/>
    <w:rsid w:val="00D95435"/>
    <w:rsid w:val="00D97E55"/>
    <w:rsid w:val="00DB50EC"/>
    <w:rsid w:val="00DB7A95"/>
    <w:rsid w:val="00DD1E9E"/>
    <w:rsid w:val="00DD7F25"/>
    <w:rsid w:val="00DE4241"/>
    <w:rsid w:val="00DF2040"/>
    <w:rsid w:val="00E0026C"/>
    <w:rsid w:val="00E00AE4"/>
    <w:rsid w:val="00E01CF3"/>
    <w:rsid w:val="00E03924"/>
    <w:rsid w:val="00E10960"/>
    <w:rsid w:val="00E13B14"/>
    <w:rsid w:val="00E1682E"/>
    <w:rsid w:val="00E2177B"/>
    <w:rsid w:val="00E21975"/>
    <w:rsid w:val="00E2205C"/>
    <w:rsid w:val="00E23EA6"/>
    <w:rsid w:val="00E35273"/>
    <w:rsid w:val="00E36758"/>
    <w:rsid w:val="00E37498"/>
    <w:rsid w:val="00E41A01"/>
    <w:rsid w:val="00E4761A"/>
    <w:rsid w:val="00E532CE"/>
    <w:rsid w:val="00E54CAB"/>
    <w:rsid w:val="00E5795C"/>
    <w:rsid w:val="00E60CC8"/>
    <w:rsid w:val="00E65E62"/>
    <w:rsid w:val="00E9179E"/>
    <w:rsid w:val="00EB5DB9"/>
    <w:rsid w:val="00EB7E4D"/>
    <w:rsid w:val="00EC0AE9"/>
    <w:rsid w:val="00EC3850"/>
    <w:rsid w:val="00EC4144"/>
    <w:rsid w:val="00EC5BBB"/>
    <w:rsid w:val="00ED660E"/>
    <w:rsid w:val="00EE04E5"/>
    <w:rsid w:val="00EE1014"/>
    <w:rsid w:val="00EE3D6A"/>
    <w:rsid w:val="00EF2425"/>
    <w:rsid w:val="00EF4F7C"/>
    <w:rsid w:val="00F049CA"/>
    <w:rsid w:val="00F2144D"/>
    <w:rsid w:val="00F22966"/>
    <w:rsid w:val="00F35215"/>
    <w:rsid w:val="00F36D18"/>
    <w:rsid w:val="00F42975"/>
    <w:rsid w:val="00F530E9"/>
    <w:rsid w:val="00F5388D"/>
    <w:rsid w:val="00F55102"/>
    <w:rsid w:val="00F6193E"/>
    <w:rsid w:val="00F74319"/>
    <w:rsid w:val="00F8713F"/>
    <w:rsid w:val="00F90672"/>
    <w:rsid w:val="00F93B51"/>
    <w:rsid w:val="00FA6866"/>
    <w:rsid w:val="00FB2AA9"/>
    <w:rsid w:val="00FB4087"/>
    <w:rsid w:val="00FB7C77"/>
    <w:rsid w:val="00FC0E94"/>
    <w:rsid w:val="00FC22BE"/>
    <w:rsid w:val="00FC2CEC"/>
    <w:rsid w:val="00FC34F4"/>
    <w:rsid w:val="00FC6F43"/>
    <w:rsid w:val="00FD7A36"/>
    <w:rsid w:val="00FE5C31"/>
    <w:rsid w:val="00FF1BCF"/>
    <w:rsid w:val="0FBE0453"/>
    <w:rsid w:val="1034712E"/>
    <w:rsid w:val="13B862C8"/>
    <w:rsid w:val="14A44DFE"/>
    <w:rsid w:val="15613053"/>
    <w:rsid w:val="190D49C0"/>
    <w:rsid w:val="1C4B2439"/>
    <w:rsid w:val="244615F4"/>
    <w:rsid w:val="2A887E27"/>
    <w:rsid w:val="2AE558CE"/>
    <w:rsid w:val="30247F39"/>
    <w:rsid w:val="3F4117E2"/>
    <w:rsid w:val="3F867111"/>
    <w:rsid w:val="400022D9"/>
    <w:rsid w:val="4B725770"/>
    <w:rsid w:val="52014570"/>
    <w:rsid w:val="55E359A4"/>
    <w:rsid w:val="56D27821"/>
    <w:rsid w:val="573A5A93"/>
    <w:rsid w:val="57FF995A"/>
    <w:rsid w:val="592F09CD"/>
    <w:rsid w:val="5A2E0E39"/>
    <w:rsid w:val="5B316CA1"/>
    <w:rsid w:val="5E0A61D8"/>
    <w:rsid w:val="60912421"/>
    <w:rsid w:val="626E043F"/>
    <w:rsid w:val="65725E42"/>
    <w:rsid w:val="6868764C"/>
    <w:rsid w:val="6B3873F1"/>
    <w:rsid w:val="6C7B05E2"/>
    <w:rsid w:val="727901D7"/>
    <w:rsid w:val="7A37E78A"/>
    <w:rsid w:val="7CD930BA"/>
    <w:rsid w:val="7FFEEADD"/>
    <w:rsid w:val="B2ED141B"/>
    <w:rsid w:val="BFDD9AFB"/>
    <w:rsid w:val="DFF9A059"/>
    <w:rsid w:val="FADD8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8"/>
    <w:semiHidden/>
    <w:unhideWhenUsed/>
    <w:qFormat/>
    <w:uiPriority w:val="99"/>
    <w:rPr>
      <w:b/>
      <w:bCs/>
    </w:rPr>
  </w:style>
  <w:style w:type="character" w:styleId="10">
    <w:name w:val="Strong"/>
    <w:basedOn w:val="9"/>
    <w:qFormat/>
    <w:uiPriority w:val="0"/>
    <w:rPr>
      <w:b/>
      <w:bCs/>
    </w:rPr>
  </w:style>
  <w:style w:type="character" w:styleId="11">
    <w:name w:val="annotation reference"/>
    <w:basedOn w:val="9"/>
    <w:semiHidden/>
    <w:unhideWhenUsed/>
    <w:qFormat/>
    <w:uiPriority w:val="99"/>
    <w:rPr>
      <w:sz w:val="21"/>
      <w:szCs w:val="21"/>
    </w:rPr>
  </w:style>
  <w:style w:type="character" w:customStyle="1" w:styleId="12">
    <w:name w:val="页眉 Char"/>
    <w:basedOn w:val="9"/>
    <w:link w:val="5"/>
    <w:qFormat/>
    <w:uiPriority w:val="99"/>
    <w:rPr>
      <w:sz w:val="18"/>
      <w:szCs w:val="18"/>
    </w:rPr>
  </w:style>
  <w:style w:type="character" w:customStyle="1" w:styleId="13">
    <w:name w:val="页脚 Char"/>
    <w:basedOn w:val="9"/>
    <w:link w:val="4"/>
    <w:qFormat/>
    <w:uiPriority w:val="99"/>
    <w:rPr>
      <w:sz w:val="18"/>
      <w:szCs w:val="18"/>
    </w:rPr>
  </w:style>
  <w:style w:type="character" w:customStyle="1" w:styleId="14">
    <w:name w:val="批注框文本 Char"/>
    <w:basedOn w:val="9"/>
    <w:link w:val="3"/>
    <w:semiHidden/>
    <w:qFormat/>
    <w:uiPriority w:val="99"/>
    <w:rPr>
      <w:sz w:val="18"/>
      <w:szCs w:val="18"/>
    </w:rPr>
  </w:style>
  <w:style w:type="paragraph" w:styleId="15">
    <w:name w:val="List Paragraph"/>
    <w:basedOn w:val="1"/>
    <w:qFormat/>
    <w:uiPriority w:val="34"/>
    <w:pPr>
      <w:ind w:firstLine="420" w:firstLineChars="200"/>
    </w:pPr>
  </w:style>
  <w:style w:type="character" w:customStyle="1" w:styleId="16">
    <w:name w:val="明显强调1"/>
    <w:basedOn w:val="9"/>
    <w:qFormat/>
    <w:uiPriority w:val="21"/>
    <w:rPr>
      <w:i/>
      <w:iCs/>
      <w:color w:val="0F6FC6" w:themeColor="accent1"/>
      <w14:textFill>
        <w14:solidFill>
          <w14:schemeClr w14:val="accent1"/>
        </w14:solidFill>
      </w14:textFill>
    </w:rPr>
  </w:style>
  <w:style w:type="character" w:customStyle="1" w:styleId="17">
    <w:name w:val="批注文字 Char"/>
    <w:basedOn w:val="9"/>
    <w:link w:val="2"/>
    <w:semiHidden/>
    <w:qFormat/>
    <w:uiPriority w:val="99"/>
  </w:style>
  <w:style w:type="character" w:customStyle="1" w:styleId="18">
    <w:name w:val="批注主题 Char"/>
    <w:basedOn w:val="17"/>
    <w:link w:val="7"/>
    <w:semiHidden/>
    <w:qFormat/>
    <w:uiPriority w:val="99"/>
    <w:rPr>
      <w:b/>
      <w:bCs/>
    </w:rPr>
  </w:style>
  <w:style w:type="paragraph" w:customStyle="1" w:styleId="19">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蓝色">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2025</Words>
  <Characters>2030</Characters>
  <Lines>63</Lines>
  <Paragraphs>17</Paragraphs>
  <TotalTime>26</TotalTime>
  <ScaleCrop>false</ScaleCrop>
  <LinksUpToDate>false</LinksUpToDate>
  <CharactersWithSpaces>2047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2025-04-16T11:30:00Z</dcterms:created>
  <dc:creator>0926</dc:creator>
  <cp:lastModifiedBy>六爻。</cp:lastModifiedBy>
  <cp:lastPrinted>2024-11-01T09:28:00Z</cp:lastPrinted>
  <dcterms:modified xsi:type="dcterms:W3CDTF">2025-04-18T08:13:31Z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789CAB87ED9444C0BAAC9A9FA1174CEB_13</vt:lpwstr>
  </property>
</Properties>
</file>