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A9CFF0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0"/>
        <w:rPr>
          <w:rFonts w:hint="eastAsia" w:ascii="Arial Unicode MS" w:hAnsi="Arial Unicode MS" w:eastAsia="Arial Unicode MS" w:cs="Arial Unicode MS"/>
          <w:sz w:val="40"/>
          <w:szCs w:val="40"/>
          <w:lang w:val="en-US" w:eastAsia="zh-CN"/>
        </w:rPr>
      </w:pPr>
    </w:p>
    <w:p w14:paraId="6C786F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0"/>
        <w:rPr>
          <w:rFonts w:hint="eastAsia" w:ascii="Arial Unicode MS" w:hAnsi="Arial Unicode MS" w:eastAsia="Arial Unicode MS" w:cs="Arial Unicode MS"/>
          <w:sz w:val="40"/>
          <w:szCs w:val="40"/>
          <w:lang w:val="en-US"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sz w:val="40"/>
          <w:szCs w:val="40"/>
          <w:lang w:val="en-US" w:eastAsia="zh-CN"/>
        </w:rPr>
        <w:t>甘肃省教育厅贯彻落实教育部基础教育</w:t>
      </w:r>
    </w:p>
    <w:p w14:paraId="193C47A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0"/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-5"/>
          <w:sz w:val="40"/>
          <w:szCs w:val="40"/>
          <w:lang w:eastAsia="zh-CN"/>
        </w:rPr>
      </w:pPr>
      <w:r>
        <w:rPr>
          <w:rFonts w:hint="eastAsia" w:ascii="Arial Unicode MS" w:hAnsi="Arial Unicode MS" w:eastAsia="Arial Unicode MS" w:cs="Arial Unicode MS"/>
          <w:sz w:val="40"/>
          <w:szCs w:val="40"/>
          <w:lang w:val="en-US" w:eastAsia="zh-CN"/>
        </w:rPr>
        <w:t>“规范管理年”行动实施方案</w:t>
      </w:r>
      <w:bookmarkEnd w:id="0"/>
    </w:p>
    <w:p w14:paraId="1855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center"/>
        <w:textAlignment w:val="center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p w14:paraId="1610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为深入落实习近平总书记关于教育的重要论述，聚焦立德树人根本任务，坚持和加强党对教育事业的全面领导，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进一步依法依规加强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中小学幼儿园办学行为管理，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全面推进基础教育高质量发展，根据《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办公厅关于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开展基础教育“规范管理年”行动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的通知》（教基厅函〔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2024〕17号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）安排部署，特制定《甘肃省教育厅贯彻落实教育部基础教育“规范管理年”行动实施方案》。</w:t>
      </w:r>
    </w:p>
    <w:p w14:paraId="56FE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 w:ascii="黑体" w:eastAsia="黑体" w:cs="黑体"/>
          <w:color w:val="auto"/>
          <w:sz w:val="32"/>
          <w:szCs w:val="32"/>
        </w:rPr>
        <w:t>　一、总体目标</w:t>
      </w:r>
    </w:p>
    <w:p w14:paraId="5E90E6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7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“规范管理年”行动，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基础教育战线干部队伍和广大教师、教研员的政治意识、法律意识、规矩意识进一步增强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基础教育领域存在的违法违规、违背教育规律和教育功利化短视化行为得到进一步清理整治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依法管理、从严管理、规范管理的长效机制进一步建立健全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学校管理能力和教书育人水平进一步提高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人民群众对基础教育的满意度、获得感进一步提升。</w:t>
      </w:r>
    </w:p>
    <w:p w14:paraId="7F75AC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7"/>
        <w:jc w:val="both"/>
        <w:textAlignment w:val="center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工作原则</w:t>
      </w:r>
    </w:p>
    <w:p w14:paraId="78121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（一）融入中心，服务大局。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以服务全省基础教育高质量发展和落实“十四五”发展规划为目标，牢固树立全局意识和系统观念，将规范管理工作融入到基础教育高质量发展各项工作中，充分发挥好规范管理工作的服务、支撑和保障作用。</w:t>
      </w:r>
    </w:p>
    <w:p w14:paraId="77E56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（二）全面覆盖，突出重点。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以规范整治重点问题为导向，将规范办学要求覆盖各级部门、各个学校、全体教育工作者，贯穿决策、执行、监督全过程，强化对重点领域、重点环节和重点人员的学习教育和培训。</w:t>
      </w:r>
    </w:p>
    <w:p w14:paraId="14B1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（三）各司其职，协同联动。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明确各级部门各学校的具体职责，各负其责、紧密配合，筑牢规范办学“防线”，确保规范办学管理体系运行通畅、负面清单中的违规行为得以有效防范。</w:t>
      </w:r>
    </w:p>
    <w:p w14:paraId="0093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（四）强化责任，力求实效。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把加强规范办学行为纳入各单位主要负责人履职尽责的重要内容，建立规范办学督查机制，加大监督评价力度，确保有效落实。</w:t>
      </w:r>
    </w:p>
    <w:p w14:paraId="7CA3C66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eastAsia="黑体" w:cs="黑体"/>
          <w:color w:val="auto"/>
          <w:sz w:val="32"/>
          <w:szCs w:val="32"/>
        </w:rPr>
        <w:t>规范整治重点</w:t>
      </w:r>
    </w:p>
    <w:p w14:paraId="48D3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（一）安全底线失守。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一些地方和学校意识形态责任制落实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不到位，书记、校长、教师、教研员政治安全意识淡薄、言行不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校园安全责任不落实，安全隐患排查整治不到位，学生伤害、欺凌等事件频发，甚至发生重特大安全事故。</w:t>
      </w:r>
    </w:p>
    <w:p w14:paraId="71BA0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（二）日常管理失序。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一些地方和学校立德树人根本任务落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实不到位，违背素质教育要求，唯分数唯升学现象屡禁不止。学校管理制度不健全、不落实，有的对法律要求和国家规定阳奉阴违、打折扣搞变通，破坏良好教育生态。</w:t>
      </w:r>
    </w:p>
    <w:p w14:paraId="717AC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（三）师德师风失范。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一些教师违背中小学幼儿园教师职业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行为准则，背离育人为本要求，作风不良、品行不端，不平等对待学生甚至侵害学生合法权益，严重影响学生健康成长。</w:t>
      </w:r>
    </w:p>
    <w:p w14:paraId="781F378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eastAsia="黑体" w:cs="黑体"/>
          <w:color w:val="auto"/>
          <w:sz w:val="32"/>
          <w:szCs w:val="32"/>
        </w:rPr>
        <w:t>规范整治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任务安排</w:t>
      </w:r>
    </w:p>
    <w:p w14:paraId="5D30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（一）召开全省调度会议，部署推进措施（7月底前完成）</w:t>
      </w:r>
    </w:p>
    <w:p w14:paraId="2ED0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召开全省调度会议，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各市（州）、县（市、区）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采取有力措施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规范办学要求的学习教育和培训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活动，迅速传达学习，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把规范办学要求落到每所学校和每名书记、校长、教师身上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A02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（二）开展自查，建立问题台账（9月底前完成）</w:t>
      </w:r>
    </w:p>
    <w:p w14:paraId="07D28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各市（州）、县（市、区）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教育部门组织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所有中小学幼儿园，对照工作要求和负面清单，认真开展自查，建立问题台账，做到无死角全覆盖，压实工作责任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发现问题立行立改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，9月底前由各市（州）教育行政部门向省教育厅提交整改报告。</w:t>
      </w:r>
    </w:p>
    <w:p w14:paraId="62E8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（三）开展交互督查调研，落实规范管理要求（10月底前完成）</w:t>
      </w:r>
    </w:p>
    <w:p w14:paraId="1CEA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各市（州）开展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互督查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，由各市（州）教育行政部门分管领导带队，组成由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责任督学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、教研人员等参加的督查调研组，通过督导、调研、教学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、明察暗访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开展交互督查调研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，进一步推动落实规范管理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提出问题清单和整改意见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C9A4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总结</w:t>
      </w: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评估，完善长效管理机制和制度（12月底前完成）</w:t>
      </w:r>
    </w:p>
    <w:p w14:paraId="575C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根据交互督查调研结果，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各地在规范办学方面的有效做法和存在的问题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反馈和通报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会议，总结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推广典型经验，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通报存在的问题，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进一步完善规范管理的政策制度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2A1049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五、工作保障 </w:t>
      </w:r>
    </w:p>
    <w:p w14:paraId="25B5F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切实</w:t>
      </w: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加强组织领导。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各级教育行政部门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规范管理年”行动作为今年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基础教育领域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的一项重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，列入议事日程，周密安排部署，坚决防止出现挑战底线和触碰红线的办学行为。及时总结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规范办学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典型经验，加强正面宣传引导，营造良好氛围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。把各地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行之有效的做法通过政策文件等形式固定下来，切实提高办学治校的法治化、规范化、精细化水平。</w:t>
      </w:r>
    </w:p>
    <w:p w14:paraId="2940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（二）落实</w:t>
      </w: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责任</w:t>
      </w: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追究</w:t>
      </w: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制度。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各级教育行政部门要压实学校办学主体责任，加大对违反负面清单规定、触碰底线红线办学行为的惩处力度，依法依规严肃追责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；逐级分类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建立基础教育办学治校声誉评价体系，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各地教育部门和学校的不规范办学治校行为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声誉评价结果面向一定范围公开，作为学校、教师各类评优评先和表彰奖励的重要参考。对于漠视学校违规行为、敷衍塞责、处置不力的教育行政部门，由上级教育行政部门督办问责。</w:t>
      </w:r>
    </w:p>
    <w:p w14:paraId="39959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建立监督曝光机制。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省教育厅公开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规范办学举报电话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（0931-8586932）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（sjytjjyc@163.com）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，接受学生家长、人大代表、政协委员和社会各界对学校办学行为的监督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通过家长委员会、特邀监督员等方式，加强对学校办学行为的日常监督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。各市县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要公布相应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举报电话、邮箱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，接受监督。</w:t>
      </w:r>
    </w:p>
    <w:p w14:paraId="49020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default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建立能力提升制度。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加强规范办学专门培训，将规范办学底线要求作为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全省国培、省培项目中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书记、校（园）长、教师培训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的必要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建立跟岗研修提升机制，将全省遴选的学科教研基地确立为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中小学幼儿园规范办学基地校，作为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中小学幼儿园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书记、校（园）长跟岗研修提升业务的基地，组织新任和声誉评价排名靠后的书记、校（园）长到基地校开展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为期一周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的跟岗研修。</w:t>
      </w:r>
    </w:p>
    <w:p w14:paraId="1BBA3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9F9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TAwNWRmYTYwOGNmZTY5N2I0ODRiMThmZDE5NDEifQ=="/>
  </w:docVars>
  <w:rsids>
    <w:rsidRoot w:val="16614F16"/>
    <w:rsid w:val="166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2024-09-24T09:55:00Z</dcterms:created>
  <dc:creator>梦心魂</dc:creator>
  <cp:lastModifiedBy>梦心魂</cp:lastModifiedBy>
  <dcterms:modified xsi:type="dcterms:W3CDTF">2024-09-24T09:56:06Z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F23B4AB1C7C544318C397316BD1DEDD0_11</vt:lpwstr>
  </property>
</Properties>
</file>